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6CA6" w14:textId="67DB12F7" w:rsidR="00E63061" w:rsidRDefault="007E14AB" w:rsidP="00E63061">
      <w:pPr>
        <w:pStyle w:val="Nzevpspvku"/>
      </w:pPr>
      <w:bookmarkStart w:id="0" w:name="_GoBack"/>
      <w:bookmarkEnd w:id="0"/>
      <w:r>
        <w:t>Mediální masáž aneb jsou opravdu defenzivní akcie tak výhodné v dobách krize?</w:t>
      </w:r>
    </w:p>
    <w:p w14:paraId="193BE390" w14:textId="77777777" w:rsidR="00E63061" w:rsidRDefault="00E63061" w:rsidP="00E63061"/>
    <w:p w14:paraId="75068C0A" w14:textId="77777777" w:rsidR="00E63061" w:rsidRPr="003D2912" w:rsidRDefault="00E63061" w:rsidP="00E63061"/>
    <w:p w14:paraId="1737400A" w14:textId="77777777" w:rsidR="00E63061" w:rsidRDefault="00E63061" w:rsidP="00E63061">
      <w:pPr>
        <w:pStyle w:val="Autoi"/>
      </w:pPr>
      <w:r>
        <w:t>Ing. Jiří Vataha</w:t>
      </w:r>
      <w:r w:rsidRPr="00415CF9">
        <w:t xml:space="preserve"> </w:t>
      </w:r>
    </w:p>
    <w:p w14:paraId="3DA08265" w14:textId="77777777" w:rsidR="00E63061" w:rsidRDefault="00E63061" w:rsidP="00E63061">
      <w:pPr>
        <w:pStyle w:val="Kontakt"/>
      </w:pPr>
    </w:p>
    <w:p w14:paraId="51B73076" w14:textId="77777777" w:rsidR="00E63061" w:rsidRDefault="00E63061" w:rsidP="00E63061">
      <w:pPr>
        <w:pStyle w:val="Abstrakt"/>
      </w:pPr>
      <w:r>
        <w:t>Abstrakt</w:t>
      </w:r>
    </w:p>
    <w:p w14:paraId="7BCAFB8D" w14:textId="77777777" w:rsidR="00E63061" w:rsidRPr="00415CF9" w:rsidRDefault="00E63061" w:rsidP="00E63061">
      <w:pPr>
        <w:pStyle w:val="Abstrakt-text"/>
        <w:rPr>
          <w:rStyle w:val="Abstrakt-textChar"/>
        </w:rPr>
      </w:pPr>
      <w:r>
        <w:t>Cíl této práce je vyvrátit fakt, že v</w:t>
      </w:r>
      <w:r w:rsidR="00ED6786">
        <w:t> </w:t>
      </w:r>
      <w:r>
        <w:t>dobách</w:t>
      </w:r>
      <w:r w:rsidR="00ED6786">
        <w:t xml:space="preserve"> hospodářské</w:t>
      </w:r>
      <w:r>
        <w:t xml:space="preserve"> krize resp. recese, je dobré investovat do</w:t>
      </w:r>
      <w:r w:rsidR="0039190D">
        <w:t xml:space="preserve"> defenzivních akcií</w:t>
      </w:r>
      <w:r>
        <w:t xml:space="preserve"> anticyklických odvětví. Pro vyvrácení toto faktu jsem zvolil</w:t>
      </w:r>
      <w:r w:rsidR="0039190D">
        <w:t xml:space="preserve"> defenzivní akcii anticyklického odvětví služeb zábavního průmyslu -</w:t>
      </w:r>
      <w:r>
        <w:t xml:space="preserve"> akcii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</w:t>
      </w:r>
      <w:r w:rsidR="0039190D">
        <w:t>Vývoj této akcie</w:t>
      </w:r>
      <w:r>
        <w:t xml:space="preserve"> porovnávám s vývojem na kapitálovém trhu v době hospodářské krize z let 2008/2009. Pomocí korelace a grafické komparace akcie s indexem zábavního průmyslu indexu Dow Jones a indexu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jsem došel k závěru, že výše zmíněné tvrzení je nesprávné. Akcie se v době krize chová stejně </w:t>
      </w:r>
      <w:proofErr w:type="spellStart"/>
      <w:r>
        <w:t>volatilně</w:t>
      </w:r>
      <w:proofErr w:type="spellEnd"/>
      <w:r>
        <w:t xml:space="preserve"> jako samotný trh a silně s ním koreluje. </w:t>
      </w:r>
    </w:p>
    <w:p w14:paraId="35214483" w14:textId="77777777" w:rsidR="00E63061" w:rsidRPr="0054119E" w:rsidRDefault="00E63061" w:rsidP="00E63061">
      <w:pPr>
        <w:pStyle w:val="Klovslova"/>
        <w:rPr>
          <w:rStyle w:val="Abstrakt-textChar"/>
        </w:rPr>
      </w:pPr>
      <w:r w:rsidRPr="0054119E">
        <w:rPr>
          <w:b/>
        </w:rPr>
        <w:t>Klíčová slova:</w:t>
      </w:r>
      <w:r w:rsidRPr="0054119E">
        <w:t xml:space="preserve">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Co., televizní průmysl, index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, Dow Jones index televizně zábavního průmyslu, korelace indexů, anticyklické odvětví, hospodářská krize</w:t>
      </w:r>
    </w:p>
    <w:p w14:paraId="584E2BD5" w14:textId="77777777" w:rsidR="00E63061" w:rsidRPr="00201D13" w:rsidRDefault="00E63061" w:rsidP="00E63061">
      <w:pPr>
        <w:pStyle w:val="Abstract"/>
        <w:rPr>
          <w:lang w:val="cs-CZ"/>
        </w:rPr>
      </w:pPr>
    </w:p>
    <w:p w14:paraId="49F466D7" w14:textId="77777777" w:rsidR="00E63061" w:rsidRPr="00EC7E0B" w:rsidRDefault="00E63061" w:rsidP="00E63061">
      <w:pPr>
        <w:pStyle w:val="Abstract"/>
      </w:pPr>
      <w:r w:rsidRPr="00EC7E0B">
        <w:t>Abstract</w:t>
      </w:r>
    </w:p>
    <w:p w14:paraId="401A257D" w14:textId="77777777" w:rsidR="006B5E81" w:rsidRPr="006B5E81" w:rsidRDefault="006B5E81" w:rsidP="006B5E81">
      <w:pPr>
        <w:pStyle w:val="Abstrakt-text"/>
      </w:pP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goal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this</w:t>
      </w:r>
      <w:proofErr w:type="spellEnd"/>
      <w:r w:rsidRPr="006B5E81">
        <w:t xml:space="preserve"> </w:t>
      </w:r>
      <w:proofErr w:type="spellStart"/>
      <w:r w:rsidRPr="006B5E81">
        <w:t>paper</w:t>
      </w:r>
      <w:proofErr w:type="spellEnd"/>
      <w:r w:rsidRPr="006B5E81">
        <w:t xml:space="preserve"> </w:t>
      </w:r>
      <w:proofErr w:type="spellStart"/>
      <w:r w:rsidRPr="006B5E81">
        <w:t>is</w:t>
      </w:r>
      <w:proofErr w:type="spellEnd"/>
      <w:r w:rsidRPr="006B5E81">
        <w:t xml:space="preserve"> to </w:t>
      </w:r>
      <w:proofErr w:type="spellStart"/>
      <w:r w:rsidRPr="006B5E81">
        <w:t>refute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fact</w:t>
      </w:r>
      <w:proofErr w:type="spellEnd"/>
      <w:r w:rsidRPr="006B5E81">
        <w:t xml:space="preserve"> </w:t>
      </w:r>
      <w:proofErr w:type="spellStart"/>
      <w:r w:rsidRPr="006B5E81">
        <w:t>that</w:t>
      </w:r>
      <w:proofErr w:type="spellEnd"/>
      <w:r w:rsidRPr="006B5E81">
        <w:t xml:space="preserve"> </w:t>
      </w:r>
      <w:proofErr w:type="spellStart"/>
      <w:r w:rsidRPr="006B5E81">
        <w:t>it</w:t>
      </w:r>
      <w:proofErr w:type="spellEnd"/>
      <w:r w:rsidRPr="006B5E81">
        <w:t xml:space="preserve"> </w:t>
      </w:r>
      <w:proofErr w:type="spellStart"/>
      <w:r w:rsidRPr="006B5E81">
        <w:t>is</w:t>
      </w:r>
      <w:proofErr w:type="spellEnd"/>
      <w:r w:rsidRPr="006B5E81">
        <w:t xml:space="preserve"> </w:t>
      </w:r>
      <w:proofErr w:type="spellStart"/>
      <w:r w:rsidRPr="006B5E81">
        <w:t>profitable</w:t>
      </w:r>
      <w:proofErr w:type="spellEnd"/>
      <w:r w:rsidRPr="006B5E81">
        <w:t xml:space="preserve">, in </w:t>
      </w:r>
      <w:proofErr w:type="spellStart"/>
      <w:r w:rsidRPr="006B5E81">
        <w:t>times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economic</w:t>
      </w:r>
      <w:proofErr w:type="spellEnd"/>
      <w:r w:rsidRPr="006B5E81">
        <w:t xml:space="preserve"> </w:t>
      </w:r>
      <w:proofErr w:type="spellStart"/>
      <w:r w:rsidRPr="006B5E81">
        <w:t>crisis</w:t>
      </w:r>
      <w:proofErr w:type="spellEnd"/>
      <w:r w:rsidRPr="006B5E81">
        <w:t xml:space="preserve">, </w:t>
      </w:r>
      <w:proofErr w:type="spellStart"/>
      <w:r w:rsidRPr="006B5E81">
        <w:t>or</w:t>
      </w:r>
      <w:proofErr w:type="spellEnd"/>
      <w:r w:rsidRPr="006B5E81">
        <w:t xml:space="preserve"> </w:t>
      </w:r>
      <w:proofErr w:type="spellStart"/>
      <w:r w:rsidRPr="006B5E81">
        <w:t>recession</w:t>
      </w:r>
      <w:proofErr w:type="spellEnd"/>
      <w:r w:rsidRPr="006B5E81">
        <w:t xml:space="preserve">, to </w:t>
      </w:r>
      <w:proofErr w:type="spellStart"/>
      <w:r w:rsidRPr="006B5E81">
        <w:t>invest</w:t>
      </w:r>
      <w:proofErr w:type="spellEnd"/>
      <w:r w:rsidRPr="006B5E81">
        <w:t xml:space="preserve"> in </w:t>
      </w:r>
      <w:proofErr w:type="spellStart"/>
      <w:r w:rsidRPr="006B5E81">
        <w:t>defensive</w:t>
      </w:r>
      <w:proofErr w:type="spellEnd"/>
      <w:r w:rsidRPr="006B5E81">
        <w:t xml:space="preserve"> </w:t>
      </w:r>
      <w:proofErr w:type="spellStart"/>
      <w:r w:rsidRPr="006B5E81">
        <w:t>stocks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anticyclical</w:t>
      </w:r>
      <w:proofErr w:type="spellEnd"/>
      <w:r w:rsidRPr="006B5E81">
        <w:t xml:space="preserve"> </w:t>
      </w:r>
      <w:proofErr w:type="spellStart"/>
      <w:r w:rsidRPr="006B5E81">
        <w:t>industries</w:t>
      </w:r>
      <w:proofErr w:type="spellEnd"/>
      <w:r w:rsidRPr="006B5E81">
        <w:t xml:space="preserve">. To </w:t>
      </w:r>
      <w:proofErr w:type="spellStart"/>
      <w:r w:rsidRPr="006B5E81">
        <w:t>refute</w:t>
      </w:r>
      <w:proofErr w:type="spellEnd"/>
      <w:r w:rsidRPr="006B5E81">
        <w:t xml:space="preserve"> </w:t>
      </w:r>
      <w:proofErr w:type="spellStart"/>
      <w:r w:rsidRPr="006B5E81">
        <w:t>this</w:t>
      </w:r>
      <w:proofErr w:type="spellEnd"/>
      <w:r w:rsidRPr="006B5E81">
        <w:t xml:space="preserve"> </w:t>
      </w:r>
      <w:proofErr w:type="spellStart"/>
      <w:r w:rsidRPr="006B5E81">
        <w:t>fact</w:t>
      </w:r>
      <w:proofErr w:type="spellEnd"/>
      <w:r w:rsidRPr="006B5E81">
        <w:t xml:space="preserve">, I </w:t>
      </w:r>
      <w:proofErr w:type="spellStart"/>
      <w:r w:rsidRPr="006B5E81">
        <w:t>chose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defensive</w:t>
      </w:r>
      <w:proofErr w:type="spellEnd"/>
      <w:r w:rsidRPr="006B5E81">
        <w:t xml:space="preserve"> </w:t>
      </w:r>
      <w:proofErr w:type="spellStart"/>
      <w:r w:rsidRPr="006B5E81">
        <w:t>stock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anticyclical</w:t>
      </w:r>
      <w:proofErr w:type="spellEnd"/>
      <w:r w:rsidRPr="006B5E81">
        <w:t xml:space="preserve"> </w:t>
      </w:r>
      <w:proofErr w:type="spellStart"/>
      <w:r w:rsidRPr="006B5E81">
        <w:t>service</w:t>
      </w:r>
      <w:proofErr w:type="spellEnd"/>
      <w:r w:rsidRPr="006B5E81">
        <w:t xml:space="preserve"> </w:t>
      </w:r>
      <w:proofErr w:type="spellStart"/>
      <w:r w:rsidRPr="006B5E81">
        <w:t>sector</w:t>
      </w:r>
      <w:proofErr w:type="spellEnd"/>
      <w:r w:rsidRPr="006B5E81">
        <w:t xml:space="preserve"> </w:t>
      </w:r>
      <w:proofErr w:type="spellStart"/>
      <w:r w:rsidRPr="006B5E81">
        <w:t>entertainment</w:t>
      </w:r>
      <w:proofErr w:type="spellEnd"/>
      <w:r w:rsidRPr="006B5E81">
        <w:t xml:space="preserve"> </w:t>
      </w:r>
      <w:proofErr w:type="spellStart"/>
      <w:r w:rsidRPr="006B5E81">
        <w:t>industry</w:t>
      </w:r>
      <w:proofErr w:type="spellEnd"/>
      <w:r w:rsidRPr="006B5E81">
        <w:t xml:space="preserve"> - </w:t>
      </w:r>
      <w:proofErr w:type="spellStart"/>
      <w:r w:rsidRPr="006B5E81">
        <w:t>Walt</w:t>
      </w:r>
      <w:proofErr w:type="spellEnd"/>
      <w:r w:rsidRPr="006B5E81">
        <w:t xml:space="preserve"> </w:t>
      </w:r>
      <w:proofErr w:type="spellStart"/>
      <w:r w:rsidRPr="006B5E81">
        <w:t>Disney</w:t>
      </w:r>
      <w:proofErr w:type="spellEnd"/>
      <w:r w:rsidRPr="006B5E81">
        <w:t xml:space="preserve"> Co. I </w:t>
      </w:r>
      <w:proofErr w:type="spellStart"/>
      <w:r w:rsidRPr="006B5E81">
        <w:t>will</w:t>
      </w:r>
      <w:proofErr w:type="spellEnd"/>
      <w:r w:rsidRPr="006B5E81">
        <w:t xml:space="preserve"> </w:t>
      </w:r>
      <w:proofErr w:type="spellStart"/>
      <w:r w:rsidRPr="006B5E81">
        <w:t>compare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development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these </w:t>
      </w:r>
      <w:proofErr w:type="spellStart"/>
      <w:r w:rsidRPr="006B5E81">
        <w:t>stocks</w:t>
      </w:r>
      <w:proofErr w:type="spellEnd"/>
      <w:r w:rsidRPr="006B5E81">
        <w:t xml:space="preserve"> </w:t>
      </w:r>
      <w:proofErr w:type="spellStart"/>
      <w:r w:rsidRPr="006B5E81">
        <w:t>with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developments</w:t>
      </w:r>
      <w:proofErr w:type="spellEnd"/>
      <w:r w:rsidRPr="006B5E81">
        <w:t xml:space="preserve"> in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capital</w:t>
      </w:r>
      <w:proofErr w:type="spellEnd"/>
      <w:r w:rsidRPr="006B5E81">
        <w:t xml:space="preserve"> market </w:t>
      </w:r>
      <w:proofErr w:type="spellStart"/>
      <w:r w:rsidRPr="006B5E81">
        <w:t>during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economic</w:t>
      </w:r>
      <w:proofErr w:type="spellEnd"/>
      <w:r w:rsidRPr="006B5E81">
        <w:t xml:space="preserve"> </w:t>
      </w:r>
      <w:proofErr w:type="spellStart"/>
      <w:r w:rsidRPr="006B5E81">
        <w:t>crisis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2008/2009. </w:t>
      </w:r>
      <w:proofErr w:type="spellStart"/>
      <w:r w:rsidRPr="006B5E81">
        <w:t>With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aid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correlation</w:t>
      </w:r>
      <w:proofErr w:type="spellEnd"/>
      <w:r w:rsidRPr="006B5E81">
        <w:t xml:space="preserve"> and </w:t>
      </w:r>
      <w:proofErr w:type="spellStart"/>
      <w:r w:rsidRPr="006B5E81">
        <w:t>graphical</w:t>
      </w:r>
      <w:proofErr w:type="spellEnd"/>
      <w:r w:rsidRPr="006B5E81">
        <w:t xml:space="preserve"> </w:t>
      </w:r>
      <w:proofErr w:type="spellStart"/>
      <w:r w:rsidRPr="006B5E81">
        <w:t>comparisons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stocks</w:t>
      </w:r>
      <w:proofErr w:type="spellEnd"/>
      <w:r w:rsidRPr="006B5E81">
        <w:t xml:space="preserve"> </w:t>
      </w:r>
      <w:proofErr w:type="spellStart"/>
      <w:r w:rsidRPr="006B5E81">
        <w:t>with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Dow Jones</w:t>
      </w:r>
      <w:r>
        <w:t xml:space="preserve"> U.S. </w:t>
      </w:r>
      <w:proofErr w:type="spellStart"/>
      <w:r>
        <w:t>Broadcasting</w:t>
      </w:r>
      <w:proofErr w:type="spellEnd"/>
      <w:r>
        <w:t xml:space="preserve"> and </w:t>
      </w:r>
      <w:proofErr w:type="spellStart"/>
      <w:r>
        <w:t>Entertainment</w:t>
      </w:r>
      <w:proofErr w:type="spellEnd"/>
      <w:r>
        <w:t xml:space="preserve"> Index</w:t>
      </w:r>
      <w:r w:rsidRPr="006B5E81">
        <w:t xml:space="preserve"> and Dow Jones </w:t>
      </w:r>
      <w:proofErr w:type="spellStart"/>
      <w:r w:rsidRPr="006B5E81">
        <w:t>Industrial</w:t>
      </w:r>
      <w:proofErr w:type="spellEnd"/>
      <w:r w:rsidRPr="006B5E81">
        <w:t xml:space="preserve"> </w:t>
      </w:r>
      <w:proofErr w:type="spellStart"/>
      <w:r w:rsidRPr="006B5E81">
        <w:t>Average</w:t>
      </w:r>
      <w:proofErr w:type="spellEnd"/>
      <w:r>
        <w:t xml:space="preserve"> Index</w:t>
      </w:r>
      <w:r w:rsidRPr="006B5E81">
        <w:t xml:space="preserve">, I </w:t>
      </w:r>
      <w:proofErr w:type="spellStart"/>
      <w:r w:rsidRPr="006B5E81">
        <w:t>have</w:t>
      </w:r>
      <w:proofErr w:type="spellEnd"/>
      <w:r w:rsidRPr="006B5E81">
        <w:t xml:space="preserve"> </w:t>
      </w:r>
      <w:proofErr w:type="spellStart"/>
      <w:r w:rsidRPr="006B5E81">
        <w:t>concluded</w:t>
      </w:r>
      <w:proofErr w:type="spellEnd"/>
      <w:r w:rsidRPr="006B5E81">
        <w:t xml:space="preserve"> </w:t>
      </w:r>
      <w:proofErr w:type="spellStart"/>
      <w:r w:rsidRPr="006B5E81">
        <w:t>that</w:t>
      </w:r>
      <w:proofErr w:type="spellEnd"/>
      <w:r w:rsidRPr="006B5E81">
        <w:t xml:space="preserve"> </w:t>
      </w:r>
      <w:proofErr w:type="spellStart"/>
      <w:r w:rsidRPr="006B5E81">
        <w:t>the</w:t>
      </w:r>
      <w:proofErr w:type="spellEnd"/>
      <w:r w:rsidRPr="006B5E81">
        <w:t xml:space="preserve"> </w:t>
      </w:r>
      <w:proofErr w:type="spellStart"/>
      <w:r w:rsidRPr="006B5E81">
        <w:t>above</w:t>
      </w:r>
      <w:proofErr w:type="spellEnd"/>
      <w:r w:rsidRPr="006B5E81">
        <w:t xml:space="preserve"> </w:t>
      </w:r>
      <w:proofErr w:type="spellStart"/>
      <w:r w:rsidRPr="006B5E81">
        <w:t>statement</w:t>
      </w:r>
      <w:proofErr w:type="spellEnd"/>
      <w:r w:rsidRPr="006B5E81">
        <w:t xml:space="preserve"> </w:t>
      </w:r>
      <w:proofErr w:type="spellStart"/>
      <w:r w:rsidRPr="006B5E81">
        <w:t>is</w:t>
      </w:r>
      <w:proofErr w:type="spellEnd"/>
      <w:r w:rsidRPr="006B5E81">
        <w:t xml:space="preserve"> </w:t>
      </w:r>
      <w:proofErr w:type="spellStart"/>
      <w:r w:rsidRPr="006B5E81">
        <w:t>incorrect</w:t>
      </w:r>
      <w:proofErr w:type="spellEnd"/>
      <w:r w:rsidRPr="006B5E81">
        <w:t xml:space="preserve">. </w:t>
      </w:r>
      <w:proofErr w:type="spellStart"/>
      <w:r w:rsidRPr="006B5E81">
        <w:t>Shares</w:t>
      </w:r>
      <w:proofErr w:type="spellEnd"/>
      <w:r w:rsidRPr="006B5E81">
        <w:t xml:space="preserve"> in </w:t>
      </w:r>
      <w:proofErr w:type="spellStart"/>
      <w:r w:rsidRPr="006B5E81">
        <w:t>times</w:t>
      </w:r>
      <w:proofErr w:type="spellEnd"/>
      <w:r w:rsidRPr="006B5E81">
        <w:t xml:space="preserve"> </w:t>
      </w:r>
      <w:proofErr w:type="spellStart"/>
      <w:r w:rsidRPr="006B5E81">
        <w:t>of</w:t>
      </w:r>
      <w:proofErr w:type="spellEnd"/>
      <w:r w:rsidRPr="006B5E81">
        <w:t xml:space="preserve"> </w:t>
      </w:r>
      <w:proofErr w:type="spellStart"/>
      <w:r w:rsidRPr="006B5E81">
        <w:t>crisis</w:t>
      </w:r>
      <w:proofErr w:type="spellEnd"/>
      <w:r w:rsidRPr="006B5E81">
        <w:t xml:space="preserve"> </w:t>
      </w:r>
      <w:proofErr w:type="spellStart"/>
      <w:r w:rsidRPr="006B5E81">
        <w:t>behave</w:t>
      </w:r>
      <w:proofErr w:type="spellEnd"/>
      <w:r w:rsidRPr="006B5E81">
        <w:t xml:space="preserve"> </w:t>
      </w:r>
      <w:proofErr w:type="spellStart"/>
      <w:r w:rsidRPr="006B5E81">
        <w:t>with</w:t>
      </w:r>
      <w:proofErr w:type="spellEnd"/>
      <w:r w:rsidRPr="006B5E81">
        <w:t xml:space="preserve"> as much volatility as </w:t>
      </w:r>
      <w:proofErr w:type="spellStart"/>
      <w:r w:rsidRPr="006B5E81">
        <w:t>the</w:t>
      </w:r>
      <w:proofErr w:type="spellEnd"/>
      <w:r w:rsidRPr="006B5E81">
        <w:t xml:space="preserve"> market </w:t>
      </w:r>
      <w:proofErr w:type="spellStart"/>
      <w:r w:rsidRPr="006B5E81">
        <w:t>itself</w:t>
      </w:r>
      <w:proofErr w:type="spellEnd"/>
      <w:r w:rsidRPr="006B5E81">
        <w:t xml:space="preserve"> and </w:t>
      </w:r>
      <w:proofErr w:type="spellStart"/>
      <w:r w:rsidRPr="006B5E81">
        <w:t>correlates</w:t>
      </w:r>
      <w:proofErr w:type="spellEnd"/>
      <w:r w:rsidRPr="006B5E81">
        <w:t xml:space="preserve"> </w:t>
      </w:r>
      <w:proofErr w:type="spellStart"/>
      <w:r w:rsidRPr="006B5E81">
        <w:t>strongly</w:t>
      </w:r>
      <w:proofErr w:type="spellEnd"/>
      <w:r w:rsidRPr="006B5E81">
        <w:t xml:space="preserve"> </w:t>
      </w:r>
      <w:proofErr w:type="spellStart"/>
      <w:r w:rsidRPr="006B5E81">
        <w:t>with</w:t>
      </w:r>
      <w:proofErr w:type="spellEnd"/>
      <w:r w:rsidRPr="006B5E81">
        <w:t xml:space="preserve"> </w:t>
      </w:r>
      <w:proofErr w:type="spellStart"/>
      <w:r w:rsidRPr="006B5E81">
        <w:t>it</w:t>
      </w:r>
      <w:proofErr w:type="spellEnd"/>
      <w:r w:rsidRPr="006B5E81">
        <w:t>.</w:t>
      </w:r>
    </w:p>
    <w:p w14:paraId="461D0F04" w14:textId="77777777" w:rsidR="00E63061" w:rsidRPr="0054119E" w:rsidRDefault="00E63061" w:rsidP="00E63061">
      <w:pPr>
        <w:pStyle w:val="KeyWords"/>
      </w:pPr>
      <w:r w:rsidRPr="0054119E">
        <w:rPr>
          <w:b/>
        </w:rPr>
        <w:t>Key words:</w:t>
      </w:r>
      <w:r w:rsidRPr="0054119E">
        <w:t xml:space="preserve"> word, word, word</w:t>
      </w:r>
    </w:p>
    <w:p w14:paraId="63D5E7CA" w14:textId="77777777" w:rsidR="00E63061" w:rsidRPr="00201D13" w:rsidRDefault="00E63061" w:rsidP="00E63061">
      <w:pPr>
        <w:rPr>
          <w:lang w:val="en-US"/>
        </w:rPr>
      </w:pPr>
    </w:p>
    <w:p w14:paraId="202A1A55" w14:textId="77777777" w:rsidR="00E63061" w:rsidRPr="00E63061" w:rsidRDefault="00E63061" w:rsidP="00E63061">
      <w:pPr>
        <w:pStyle w:val="Nadpis1"/>
      </w:pPr>
      <w:r w:rsidRPr="00E63061">
        <w:t>úvod</w:t>
      </w:r>
    </w:p>
    <w:p w14:paraId="0A410294" w14:textId="77777777" w:rsidR="00E63061" w:rsidRDefault="00E63061" w:rsidP="00E63061">
      <w:pPr>
        <w:pStyle w:val="Text"/>
      </w:pPr>
      <w:r>
        <w:t xml:space="preserve">Ve spoustě medií čteme nebo slýcháme, že je dobré v době recese investovat do </w:t>
      </w:r>
      <w:r w:rsidR="008A1F05">
        <w:t xml:space="preserve">defenzivních </w:t>
      </w:r>
      <w:r>
        <w:t xml:space="preserve">akcií z takzvaného anticyklického odvětví. </w:t>
      </w:r>
      <w:r w:rsidR="008A1F05">
        <w:t xml:space="preserve">Mezi defenzivní akcie jsou standardně zahrnovány defenzivní akcie spotřebitelského průmyslu, defenzivní </w:t>
      </w:r>
      <w:r w:rsidR="00663D5A">
        <w:t xml:space="preserve">akcie energetického průmyslu a </w:t>
      </w:r>
      <w:r w:rsidR="008A1F05">
        <w:t>a</w:t>
      </w:r>
      <w:r w:rsidR="00663D5A">
        <w:t>k</w:t>
      </w:r>
      <w:r w:rsidR="008A1F05">
        <w:t>cie služeb.</w:t>
      </w:r>
      <w:r w:rsidR="00663D5A">
        <w:t xml:space="preserve"> Akcie služeb reprezentují firmy, které vykazují poměrně vysokou stabilitu svých hospodářských výsledků. Nejlepší kursové výsledky na akciových trzích jsou pozorovány v pozdní fázi sestupného trendu a nejhorší výsledky jsou naopak patrné v počáteční fázi vzestupného trendu na akciových trzích.</w:t>
      </w:r>
      <w:r w:rsidR="008A1F05">
        <w:rPr>
          <w:rStyle w:val="Znakapoznpodarou"/>
        </w:rPr>
        <w:footnoteReference w:id="1"/>
      </w:r>
      <w:r w:rsidR="008A1F05">
        <w:t xml:space="preserve"> </w:t>
      </w:r>
    </w:p>
    <w:p w14:paraId="7B0C971E" w14:textId="77777777" w:rsidR="00A824AF" w:rsidRDefault="00E63061" w:rsidP="00E63061">
      <w:pPr>
        <w:pStyle w:val="Text"/>
      </w:pPr>
      <w:r>
        <w:t xml:space="preserve">Pro tuto práci jsem si vybral právě akcii </w:t>
      </w:r>
      <w:r w:rsidR="00663D5A">
        <w:t>posledního</w:t>
      </w:r>
      <w:r>
        <w:t xml:space="preserve"> zmíněného odvětví –</w:t>
      </w:r>
      <w:r w:rsidR="008A1F05">
        <w:t xml:space="preserve"> sekt</w:t>
      </w:r>
      <w:r w:rsidR="00663D5A">
        <w:t>o</w:t>
      </w:r>
      <w:r w:rsidR="008A1F05">
        <w:t xml:space="preserve">r služeb zábavního průmyslu </w:t>
      </w:r>
      <w:r>
        <w:t xml:space="preserve">–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</w:t>
      </w:r>
    </w:p>
    <w:p w14:paraId="2D0E524F" w14:textId="77777777" w:rsidR="00A824AF" w:rsidRDefault="00A824AF" w:rsidP="00E63061">
      <w:pPr>
        <w:pStyle w:val="Text"/>
      </w:pPr>
    </w:p>
    <w:p w14:paraId="197876A5" w14:textId="77777777" w:rsidR="00E63061" w:rsidRPr="007A3EDD" w:rsidRDefault="00E63061" w:rsidP="00E63061">
      <w:pPr>
        <w:pStyle w:val="Nadpis1"/>
      </w:pPr>
      <w:r w:rsidRPr="007A3EDD">
        <w:lastRenderedPageBreak/>
        <w:t>Walt Disney Co.</w:t>
      </w:r>
    </w:p>
    <w:p w14:paraId="3D6C5888" w14:textId="77777777" w:rsidR="00E63061" w:rsidRDefault="00E63061" w:rsidP="00E63061">
      <w:pPr>
        <w:pStyle w:val="Text"/>
      </w:pPr>
      <w:r>
        <w:t xml:space="preserve">Společnost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Co.,</w:t>
      </w:r>
      <w:r w:rsidR="00A824AF">
        <w:t xml:space="preserve"> je jedna z největších mediální a zábavních společností na světě. Založená bratry </w:t>
      </w:r>
      <w:proofErr w:type="spellStart"/>
      <w:r w:rsidR="00A824AF">
        <w:t>Rayem</w:t>
      </w:r>
      <w:proofErr w:type="spellEnd"/>
      <w:r w:rsidR="00A824AF">
        <w:t xml:space="preserve"> a </w:t>
      </w:r>
      <w:proofErr w:type="spellStart"/>
      <w:r w:rsidR="00A824AF">
        <w:t>Waltem</w:t>
      </w:r>
      <w:proofErr w:type="spellEnd"/>
      <w:r w:rsidR="00A824AF">
        <w:t xml:space="preserve"> </w:t>
      </w:r>
      <w:proofErr w:type="spellStart"/>
      <w:r w:rsidR="00A824AF">
        <w:t>Disneyovými</w:t>
      </w:r>
      <w:proofErr w:type="spellEnd"/>
      <w:r w:rsidR="00A824AF">
        <w:t xml:space="preserve"> 16. </w:t>
      </w:r>
      <w:proofErr w:type="spellStart"/>
      <w:r w:rsidR="00A824AF">
        <w:t>Řijna</w:t>
      </w:r>
      <w:proofErr w:type="spellEnd"/>
      <w:r w:rsidR="00A824AF">
        <w:t xml:space="preserve"> 1923 jako původně animované studio.</w:t>
      </w:r>
      <w:r>
        <w:t xml:space="preserve"> </w:t>
      </w:r>
      <w:r w:rsidR="00A824AF">
        <w:t xml:space="preserve">Brzy se společnost </w:t>
      </w:r>
      <w:proofErr w:type="spellStart"/>
      <w:r w:rsidR="00A824AF">
        <w:t>Walta</w:t>
      </w:r>
      <w:proofErr w:type="spellEnd"/>
      <w:r w:rsidR="00A824AF">
        <w:t xml:space="preserve"> </w:t>
      </w:r>
      <w:proofErr w:type="spellStart"/>
      <w:r w:rsidR="00A824AF">
        <w:t>Disheyho</w:t>
      </w:r>
      <w:proofErr w:type="spellEnd"/>
      <w:r w:rsidR="00A824AF">
        <w:t xml:space="preserve"> stala jedním z </w:t>
      </w:r>
      <w:proofErr w:type="spellStart"/>
      <w:r w:rsidR="00A824AF">
        <w:t>nějvětších</w:t>
      </w:r>
      <w:proofErr w:type="spellEnd"/>
      <w:r w:rsidR="00A824AF">
        <w:t xml:space="preserve"> hollywoodských studií a vlastníkem několika televizních stanice jako například ABC nebo ESPN. Je tedy </w:t>
      </w:r>
      <w:proofErr w:type="spellStart"/>
      <w:r w:rsidR="00A824AF">
        <w:t>prostřednictvým</w:t>
      </w:r>
      <w:proofErr w:type="spellEnd"/>
      <w:r w:rsidR="00A824AF">
        <w:t xml:space="preserve"> svých</w:t>
      </w:r>
      <w:r>
        <w:t xml:space="preserve"> dceřiný</w:t>
      </w:r>
      <w:r w:rsidR="00A824AF">
        <w:t>ch</w:t>
      </w:r>
      <w:r>
        <w:t xml:space="preserve"> společnost</w:t>
      </w:r>
      <w:r w:rsidR="00A824AF">
        <w:t>í jednou z </w:t>
      </w:r>
      <w:proofErr w:type="spellStart"/>
      <w:r w:rsidR="00A824AF">
        <w:t>nějvětších</w:t>
      </w:r>
      <w:proofErr w:type="spellEnd"/>
      <w:r w:rsidR="00A824AF">
        <w:t xml:space="preserve"> a</w:t>
      </w:r>
      <w:r>
        <w:t xml:space="preserve"> celosvětově působící</w:t>
      </w:r>
      <w:r w:rsidR="00A824AF">
        <w:t>ch</w:t>
      </w:r>
      <w:r>
        <w:t xml:space="preserve"> společnost</w:t>
      </w:r>
      <w:r w:rsidR="00A824AF">
        <w:t>í</w:t>
      </w:r>
      <w:r>
        <w:t xml:space="preserve"> ze zábavního průmyslu. Tato </w:t>
      </w:r>
      <w:proofErr w:type="spellStart"/>
      <w:r>
        <w:t>společnsto</w:t>
      </w:r>
      <w:proofErr w:type="spellEnd"/>
      <w:r>
        <w:t xml:space="preserve"> působí v pěti segmentech: Mediální sítě, parky a resorty, zábavní studio, spotře</w:t>
      </w:r>
      <w:r w:rsidR="006155D8">
        <w:t>bní zbo</w:t>
      </w:r>
      <w:r>
        <w:t>ží a interaktivní media.</w:t>
      </w:r>
      <w:r w:rsidR="003B4CFC">
        <w:rPr>
          <w:rStyle w:val="Znakapoznpodarou"/>
        </w:rPr>
        <w:footnoteReference w:id="2"/>
      </w:r>
      <w:r>
        <w:t xml:space="preserve"> </w:t>
      </w:r>
    </w:p>
    <w:p w14:paraId="008D22EA" w14:textId="77777777" w:rsidR="006155D8" w:rsidRDefault="001C4DF8" w:rsidP="00E63061">
      <w:pPr>
        <w:pStyle w:val="Text"/>
      </w:pPr>
      <w:r>
        <w:t>Tržní kapitalizace společnosti je 61.08 mld. USD. Poslední 4 roky společnost každý rok vykazovala zisk necelých 10 mld. USD.</w:t>
      </w:r>
    </w:p>
    <w:p w14:paraId="418125C0" w14:textId="77777777" w:rsidR="00E63061" w:rsidRDefault="00E63061" w:rsidP="00E63061">
      <w:pPr>
        <w:pStyle w:val="Text"/>
      </w:pPr>
      <w:r>
        <w:t xml:space="preserve">Společnost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Co., má několik vlastnických podílů. </w:t>
      </w:r>
    </w:p>
    <w:p w14:paraId="1292202E" w14:textId="77777777" w:rsidR="00E63061" w:rsidRDefault="00E63061" w:rsidP="00E63061">
      <w:pPr>
        <w:pStyle w:val="Text"/>
        <w:numPr>
          <w:ilvl w:val="0"/>
          <w:numId w:val="4"/>
        </w:numPr>
      </w:pPr>
      <w:r>
        <w:t>51% podíl na Disneylandu v Paříži</w:t>
      </w:r>
    </w:p>
    <w:p w14:paraId="0AE93318" w14:textId="77777777" w:rsidR="00E63061" w:rsidRDefault="00E63061" w:rsidP="00E63061">
      <w:pPr>
        <w:pStyle w:val="Text"/>
        <w:numPr>
          <w:ilvl w:val="0"/>
          <w:numId w:val="4"/>
        </w:numPr>
      </w:pPr>
      <w:r>
        <w:t xml:space="preserve">40% podíl v Euro </w:t>
      </w:r>
      <w:proofErr w:type="spellStart"/>
      <w:r>
        <w:t>Disney</w:t>
      </w:r>
      <w:proofErr w:type="spellEnd"/>
      <w:r>
        <w:t xml:space="preserve"> S.C.A.</w:t>
      </w:r>
    </w:p>
    <w:p w14:paraId="2F59E3E8" w14:textId="77777777" w:rsidR="00E63061" w:rsidRDefault="00E63061" w:rsidP="00E63061">
      <w:pPr>
        <w:pStyle w:val="Text"/>
        <w:numPr>
          <w:ilvl w:val="0"/>
          <w:numId w:val="4"/>
        </w:numPr>
      </w:pPr>
      <w:r>
        <w:t xml:space="preserve">18% podíl ve společnosti </w:t>
      </w:r>
      <w:proofErr w:type="spellStart"/>
      <w:r>
        <w:t>Active</w:t>
      </w:r>
      <w:proofErr w:type="spellEnd"/>
      <w:r>
        <w:t xml:space="preserve"> Network</w:t>
      </w:r>
    </w:p>
    <w:p w14:paraId="2688FA00" w14:textId="77777777" w:rsidR="00E63061" w:rsidRDefault="00E63061" w:rsidP="00E63061">
      <w:pPr>
        <w:pStyle w:val="Text"/>
        <w:numPr>
          <w:ilvl w:val="0"/>
          <w:numId w:val="4"/>
        </w:numPr>
      </w:pPr>
      <w:r>
        <w:t>47% podíl v </w:t>
      </w:r>
      <w:proofErr w:type="spellStart"/>
      <w:r>
        <w:t>Hong</w:t>
      </w:r>
      <w:proofErr w:type="spellEnd"/>
      <w:r>
        <w:t xml:space="preserve"> Kong Disneyland Resort</w:t>
      </w:r>
    </w:p>
    <w:p w14:paraId="6FEB86BF" w14:textId="77777777" w:rsidR="00E63061" w:rsidRDefault="00E63061" w:rsidP="00E63061">
      <w:pPr>
        <w:pStyle w:val="Text"/>
      </w:pPr>
      <w:r>
        <w:t xml:space="preserve">Společnost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má za sebou za posledních pár let </w:t>
      </w:r>
      <w:r w:rsidR="006155D8">
        <w:t>několik</w:t>
      </w:r>
      <w:r>
        <w:t xml:space="preserve"> velkých akvizic</w:t>
      </w:r>
    </w:p>
    <w:p w14:paraId="399D48CB" w14:textId="77777777" w:rsidR="00E63061" w:rsidRDefault="00E63061" w:rsidP="00E63061">
      <w:pPr>
        <w:pStyle w:val="Text"/>
        <w:numPr>
          <w:ilvl w:val="0"/>
          <w:numId w:val="4"/>
        </w:numPr>
      </w:pPr>
      <w:r>
        <w:t xml:space="preserve">31 prosince 2009 převzala </w:t>
      </w:r>
      <w:proofErr w:type="spellStart"/>
      <w:r>
        <w:t>Marvel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>, Inc.</w:t>
      </w:r>
    </w:p>
    <w:p w14:paraId="61FE73E1" w14:textId="77777777" w:rsidR="00E63061" w:rsidRDefault="00E63061" w:rsidP="00E63061">
      <w:pPr>
        <w:pStyle w:val="Text"/>
        <w:numPr>
          <w:ilvl w:val="0"/>
          <w:numId w:val="4"/>
        </w:numPr>
      </w:pPr>
      <w:r>
        <w:t xml:space="preserve">31 března 2010 převzala Retail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Limited</w:t>
      </w:r>
    </w:p>
    <w:p w14:paraId="79B05A4C" w14:textId="77777777" w:rsidR="00E63061" w:rsidRDefault="00E63061" w:rsidP="00E63061">
      <w:pPr>
        <w:pStyle w:val="Text"/>
        <w:numPr>
          <w:ilvl w:val="0"/>
          <w:numId w:val="4"/>
        </w:numPr>
      </w:pPr>
      <w:r>
        <w:t xml:space="preserve">27 srpna 2010 převzala </w:t>
      </w:r>
      <w:proofErr w:type="spellStart"/>
      <w:r>
        <w:t>Playdom</w:t>
      </w:r>
      <w:proofErr w:type="spellEnd"/>
      <w:r>
        <w:t>, Inc.</w:t>
      </w:r>
    </w:p>
    <w:p w14:paraId="7D851476" w14:textId="77777777" w:rsidR="006155D8" w:rsidRDefault="006155D8" w:rsidP="006155D8">
      <w:pPr>
        <w:pStyle w:val="Text"/>
      </w:pPr>
    </w:p>
    <w:p w14:paraId="756EE0A2" w14:textId="77777777" w:rsidR="006155D8" w:rsidRDefault="006155D8" w:rsidP="006155D8">
      <w:pPr>
        <w:pStyle w:val="Text"/>
      </w:pPr>
      <w:r>
        <w:t>V době krize</w:t>
      </w:r>
      <w:r w:rsidR="001C4DF8">
        <w:t xml:space="preserve">, po pádu </w:t>
      </w:r>
      <w:proofErr w:type="spellStart"/>
      <w:r w:rsidR="001C4DF8">
        <w:t>Lehman</w:t>
      </w:r>
      <w:proofErr w:type="spellEnd"/>
      <w:r w:rsidR="001C4DF8">
        <w:t xml:space="preserve"> </w:t>
      </w:r>
      <w:proofErr w:type="spellStart"/>
      <w:r w:rsidR="001C4DF8">
        <w:t>Brothers</w:t>
      </w:r>
      <w:proofErr w:type="spellEnd"/>
      <w:r w:rsidR="001C4DF8">
        <w:t xml:space="preserve"> v </w:t>
      </w:r>
      <w:proofErr w:type="spellStart"/>
      <w:r w:rsidR="001C4DF8">
        <w:t>žáří</w:t>
      </w:r>
      <w:proofErr w:type="spellEnd"/>
      <w:r w:rsidR="001C4DF8">
        <w:t xml:space="preserve"> 2008,</w:t>
      </w:r>
      <w:r>
        <w:t xml:space="preserve"> akcie společnosti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ztratily přes 50% své</w:t>
      </w:r>
      <w:r w:rsidR="001C4DF8">
        <w:t xml:space="preserve"> původní</w:t>
      </w:r>
      <w:r>
        <w:t xml:space="preserve"> hodnoty.</w:t>
      </w:r>
      <w:r w:rsidR="00BF3F9B">
        <w:t xml:space="preserve"> </w:t>
      </w:r>
    </w:p>
    <w:p w14:paraId="39ACAB1A" w14:textId="77777777" w:rsidR="00BD74CB" w:rsidRDefault="004919FA" w:rsidP="00BD74CB">
      <w:pPr>
        <w:pStyle w:val="Text"/>
        <w:keepNext/>
      </w:pPr>
      <w:r>
        <w:rPr>
          <w:noProof/>
        </w:rPr>
        <w:drawing>
          <wp:inline distT="0" distB="0" distL="0" distR="0" wp14:anchorId="5204AF6E" wp14:editId="18CAFB29">
            <wp:extent cx="5759450" cy="2352040"/>
            <wp:effectExtent l="19050" t="0" r="0" b="0"/>
            <wp:docPr id="1" name="Picture 0" descr="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CEDA" w14:textId="77777777" w:rsidR="004919FA" w:rsidRPr="00BD74CB" w:rsidRDefault="00BD74CB" w:rsidP="00BD74CB">
      <w:pPr>
        <w:pStyle w:val="Titulek"/>
        <w:jc w:val="both"/>
        <w:rPr>
          <w:color w:val="auto"/>
        </w:rPr>
      </w:pPr>
      <w:r w:rsidRPr="00BD74CB">
        <w:rPr>
          <w:color w:val="auto"/>
        </w:rPr>
        <w:t xml:space="preserve">Graf </w:t>
      </w:r>
      <w:r w:rsidR="00777B04" w:rsidRPr="00BD74CB">
        <w:rPr>
          <w:color w:val="auto"/>
        </w:rPr>
        <w:fldChar w:fldCharType="begin"/>
      </w:r>
      <w:r w:rsidRPr="00BD74CB">
        <w:rPr>
          <w:color w:val="auto"/>
        </w:rPr>
        <w:instrText xml:space="preserve"> SEQ Graf \* ARABIC </w:instrText>
      </w:r>
      <w:r w:rsidR="00777B04" w:rsidRPr="00BD74CB">
        <w:rPr>
          <w:color w:val="auto"/>
        </w:rPr>
        <w:fldChar w:fldCharType="separate"/>
      </w:r>
      <w:r w:rsidR="00DC70C9">
        <w:rPr>
          <w:noProof/>
          <w:color w:val="auto"/>
        </w:rPr>
        <w:t>1</w:t>
      </w:r>
      <w:r w:rsidR="00777B04" w:rsidRPr="00BD74CB">
        <w:rPr>
          <w:color w:val="auto"/>
        </w:rPr>
        <w:fldChar w:fldCharType="end"/>
      </w:r>
      <w:r>
        <w:rPr>
          <w:color w:val="auto"/>
        </w:rPr>
        <w:t xml:space="preserve"> </w:t>
      </w:r>
      <w:r w:rsidRPr="00BD74CB">
        <w:rPr>
          <w:color w:val="auto"/>
        </w:rPr>
        <w:t xml:space="preserve">akcie </w:t>
      </w:r>
      <w:proofErr w:type="spellStart"/>
      <w:r w:rsidRPr="00BD74CB">
        <w:rPr>
          <w:color w:val="auto"/>
        </w:rPr>
        <w:t>Walt</w:t>
      </w:r>
      <w:proofErr w:type="spellEnd"/>
      <w:r w:rsidRPr="00BD74CB">
        <w:rPr>
          <w:color w:val="auto"/>
        </w:rPr>
        <w:t xml:space="preserve"> </w:t>
      </w:r>
      <w:proofErr w:type="spellStart"/>
      <w:r w:rsidRPr="00BD74CB">
        <w:rPr>
          <w:color w:val="auto"/>
        </w:rPr>
        <w:t>Disney</w:t>
      </w:r>
      <w:proofErr w:type="spellEnd"/>
      <w:r w:rsidRPr="00BD74CB">
        <w:rPr>
          <w:color w:val="auto"/>
        </w:rPr>
        <w:t xml:space="preserve"> Co.</w:t>
      </w:r>
    </w:p>
    <w:p w14:paraId="420842D5" w14:textId="77777777" w:rsidR="000502B9" w:rsidRDefault="00BF3F9B" w:rsidP="006155D8">
      <w:pPr>
        <w:pStyle w:val="Text"/>
      </w:pPr>
      <w:r>
        <w:t xml:space="preserve">Před zářím 2008 se cena jedné akcie pohybovala okolo 32 dolarů. Za dobu necelého půl roku cena akcie klesla až pod 16 dolarů. </w:t>
      </w:r>
    </w:p>
    <w:p w14:paraId="51F8C3B6" w14:textId="77777777" w:rsidR="00E63061" w:rsidRPr="00A04829" w:rsidRDefault="00E63061" w:rsidP="00E63061">
      <w:pPr>
        <w:pStyle w:val="Nadpis1"/>
      </w:pPr>
      <w:r w:rsidRPr="00A04829">
        <w:lastRenderedPageBreak/>
        <w:t xml:space="preserve">index </w:t>
      </w:r>
      <w:r w:rsidRPr="00E63061">
        <w:t>zábavního</w:t>
      </w:r>
      <w:r w:rsidRPr="00A04829">
        <w:t xml:space="preserve"> průmyslu indexu Dow Jones</w:t>
      </w:r>
    </w:p>
    <w:p w14:paraId="4F791141" w14:textId="77777777" w:rsidR="00E63061" w:rsidRDefault="00E63061" w:rsidP="00E63061">
      <w:pPr>
        <w:pStyle w:val="Text"/>
      </w:pPr>
      <w:r>
        <w:t xml:space="preserve">Společnost je zahrnuta mimo jiné do indexu </w:t>
      </w:r>
      <w:r w:rsidR="006155D8">
        <w:t xml:space="preserve"> </w:t>
      </w:r>
      <w:r>
        <w:t xml:space="preserve">televizně zábavního průmyslu indexu Dow Jones (Dow Jones U.S. </w:t>
      </w:r>
      <w:proofErr w:type="spellStart"/>
      <w:r>
        <w:t>Broadcasting</w:t>
      </w:r>
      <w:proofErr w:type="spellEnd"/>
      <w:r>
        <w:t xml:space="preserve"> &amp; </w:t>
      </w:r>
      <w:proofErr w:type="spellStart"/>
      <w:r>
        <w:t>Entertainment</w:t>
      </w:r>
      <w:proofErr w:type="spellEnd"/>
      <w:r>
        <w:t xml:space="preserve"> Index). </w:t>
      </w:r>
    </w:p>
    <w:p w14:paraId="7297D948" w14:textId="77777777" w:rsidR="00E63061" w:rsidRDefault="00E63061" w:rsidP="00E63061">
      <w:pPr>
        <w:pStyle w:val="Text"/>
      </w:pPr>
      <w:r>
        <w:t xml:space="preserve">Teto index obsahuje mimo jiné tyto společnosti zábavně televizního průmyslu. Uvádím jen ty jejichž tržní kapitalizace je nad 20mld. USD. </w:t>
      </w:r>
    </w:p>
    <w:p w14:paraId="467783DC" w14:textId="77777777" w:rsidR="00BD74CB" w:rsidRDefault="00BD74CB" w:rsidP="00E63061">
      <w:pPr>
        <w:pStyle w:val="Text"/>
      </w:pPr>
    </w:p>
    <w:p w14:paraId="720A6D8E" w14:textId="77777777" w:rsidR="00E63061" w:rsidRDefault="00E63061" w:rsidP="00E63061">
      <w:pPr>
        <w:pStyle w:val="Text"/>
      </w:pPr>
    </w:p>
    <w:tbl>
      <w:tblPr>
        <w:tblStyle w:val="Sloupcetabulky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070"/>
        <w:gridCol w:w="3734"/>
      </w:tblGrid>
      <w:tr w:rsidR="00E63061" w14:paraId="319CF64C" w14:textId="77777777" w:rsidTr="00C01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519CA3D" w14:textId="77777777" w:rsidR="00E63061" w:rsidRDefault="00E63061" w:rsidP="00C0192F">
            <w:pPr>
              <w:pStyle w:val="Text"/>
            </w:pPr>
            <w:proofErr w:type="spellStart"/>
            <w:r>
              <w:t>Symobol</w:t>
            </w:r>
            <w:proofErr w:type="spellEnd"/>
          </w:p>
        </w:tc>
        <w:tc>
          <w:tcPr>
            <w:tcW w:w="3070" w:type="dxa"/>
          </w:tcPr>
          <w:p w14:paraId="19703E22" w14:textId="77777777" w:rsidR="00E63061" w:rsidRDefault="00E63061" w:rsidP="00C0192F">
            <w:pPr>
              <w:pStyle w:val="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společnosti</w:t>
            </w:r>
          </w:p>
        </w:tc>
        <w:tc>
          <w:tcPr>
            <w:tcW w:w="3734" w:type="dxa"/>
          </w:tcPr>
          <w:p w14:paraId="020C6C22" w14:textId="77777777" w:rsidR="00E63061" w:rsidRDefault="00E63061" w:rsidP="00C0192F">
            <w:pPr>
              <w:pStyle w:val="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Tržní kapitalizace (v mld. USD)</w:t>
            </w:r>
          </w:p>
        </w:tc>
      </w:tr>
      <w:tr w:rsidR="00E63061" w14:paraId="439FDE9B" w14:textId="77777777" w:rsidTr="00C01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A17FF3" w14:textId="77777777" w:rsidR="00E63061" w:rsidRDefault="00E63061" w:rsidP="00C0192F">
            <w:pPr>
              <w:pStyle w:val="Text"/>
            </w:pPr>
            <w:r>
              <w:t>DIS</w:t>
            </w:r>
          </w:p>
        </w:tc>
        <w:tc>
          <w:tcPr>
            <w:tcW w:w="3070" w:type="dxa"/>
          </w:tcPr>
          <w:p w14:paraId="67B682EA" w14:textId="77777777" w:rsidR="00E63061" w:rsidRDefault="00E63061" w:rsidP="00C019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Walt</w:t>
            </w:r>
            <w:proofErr w:type="spellEnd"/>
            <w:r>
              <w:t xml:space="preserve"> </w:t>
            </w:r>
            <w:proofErr w:type="spellStart"/>
            <w:r>
              <w:t>Disney</w:t>
            </w:r>
            <w:proofErr w:type="spellEnd"/>
            <w:r>
              <w:t xml:space="preserve"> Co.</w:t>
            </w:r>
          </w:p>
        </w:tc>
        <w:tc>
          <w:tcPr>
            <w:tcW w:w="3734" w:type="dxa"/>
          </w:tcPr>
          <w:p w14:paraId="5FC92BBD" w14:textId="77777777" w:rsidR="00E63061" w:rsidRDefault="001C4DF8" w:rsidP="001C4DF8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  <w:r w:rsidR="00E63061">
              <w:t>,0</w:t>
            </w:r>
            <w:r>
              <w:t>8</w:t>
            </w:r>
          </w:p>
        </w:tc>
      </w:tr>
      <w:tr w:rsidR="00E63061" w14:paraId="6AE0794A" w14:textId="77777777" w:rsidTr="00C01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72BBE31" w14:textId="77777777" w:rsidR="00E63061" w:rsidRDefault="00E63061" w:rsidP="00C0192F">
            <w:pPr>
              <w:pStyle w:val="Text"/>
            </w:pPr>
            <w:r>
              <w:t>CMCSA</w:t>
            </w:r>
          </w:p>
        </w:tc>
        <w:tc>
          <w:tcPr>
            <w:tcW w:w="3070" w:type="dxa"/>
          </w:tcPr>
          <w:p w14:paraId="142C4E7F" w14:textId="77777777" w:rsidR="00E63061" w:rsidRDefault="00E63061" w:rsidP="00C019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Comcas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</w:p>
        </w:tc>
        <w:tc>
          <w:tcPr>
            <w:tcW w:w="3734" w:type="dxa"/>
          </w:tcPr>
          <w:p w14:paraId="02CC18CF" w14:textId="77777777" w:rsidR="00E63061" w:rsidRDefault="00E63061" w:rsidP="00C0192F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57,22</w:t>
            </w:r>
          </w:p>
        </w:tc>
      </w:tr>
      <w:tr w:rsidR="00E63061" w14:paraId="0BB7A2F5" w14:textId="77777777" w:rsidTr="00C01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099FFA6" w14:textId="77777777" w:rsidR="00E63061" w:rsidRDefault="00E63061" w:rsidP="00C0192F">
            <w:pPr>
              <w:pStyle w:val="Text"/>
            </w:pPr>
            <w:r>
              <w:t>NWS</w:t>
            </w:r>
          </w:p>
        </w:tc>
        <w:tc>
          <w:tcPr>
            <w:tcW w:w="3070" w:type="dxa"/>
          </w:tcPr>
          <w:p w14:paraId="6EF16622" w14:textId="77777777" w:rsidR="00E63061" w:rsidRDefault="00E63061" w:rsidP="00C019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</w:p>
        </w:tc>
        <w:tc>
          <w:tcPr>
            <w:tcW w:w="3734" w:type="dxa"/>
          </w:tcPr>
          <w:p w14:paraId="3DE81698" w14:textId="77777777" w:rsidR="00E63061" w:rsidRDefault="00E63061" w:rsidP="00C0192F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41,01</w:t>
            </w:r>
          </w:p>
        </w:tc>
      </w:tr>
      <w:tr w:rsidR="00E63061" w14:paraId="3C47F222" w14:textId="77777777" w:rsidTr="00C01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F34D66" w14:textId="77777777" w:rsidR="00E63061" w:rsidRDefault="00E63061" w:rsidP="00C0192F">
            <w:pPr>
              <w:pStyle w:val="Text"/>
            </w:pPr>
            <w:r>
              <w:t>TWX</w:t>
            </w:r>
          </w:p>
        </w:tc>
        <w:tc>
          <w:tcPr>
            <w:tcW w:w="3070" w:type="dxa"/>
          </w:tcPr>
          <w:p w14:paraId="76ED04F6" w14:textId="77777777" w:rsidR="00E63061" w:rsidRDefault="00E63061" w:rsidP="00C019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Warner</w:t>
            </w:r>
            <w:proofErr w:type="spellEnd"/>
            <w:r>
              <w:t xml:space="preserve"> Inc.</w:t>
            </w:r>
          </w:p>
        </w:tc>
        <w:tc>
          <w:tcPr>
            <w:tcW w:w="3734" w:type="dxa"/>
          </w:tcPr>
          <w:p w14:paraId="7DE4596F" w14:textId="77777777" w:rsidR="00E63061" w:rsidRDefault="00E63061" w:rsidP="00C0192F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32,39</w:t>
            </w:r>
          </w:p>
        </w:tc>
      </w:tr>
      <w:tr w:rsidR="00E63061" w14:paraId="4E1C728C" w14:textId="77777777" w:rsidTr="00C01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20D11A" w14:textId="77777777" w:rsidR="00E63061" w:rsidRDefault="00E63061" w:rsidP="00C0192F">
            <w:pPr>
              <w:pStyle w:val="Text"/>
            </w:pPr>
            <w:r>
              <w:t>DTV</w:t>
            </w:r>
          </w:p>
        </w:tc>
        <w:tc>
          <w:tcPr>
            <w:tcW w:w="3070" w:type="dxa"/>
          </w:tcPr>
          <w:p w14:paraId="1902A89E" w14:textId="77777777" w:rsidR="00E63061" w:rsidRDefault="00E63061" w:rsidP="00C019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DirecTV</w:t>
            </w:r>
            <w:proofErr w:type="spellEnd"/>
          </w:p>
        </w:tc>
        <w:tc>
          <w:tcPr>
            <w:tcW w:w="3734" w:type="dxa"/>
          </w:tcPr>
          <w:p w14:paraId="160B6488" w14:textId="77777777" w:rsidR="00E63061" w:rsidRDefault="00E63061" w:rsidP="00C0192F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31,81</w:t>
            </w:r>
          </w:p>
        </w:tc>
      </w:tr>
      <w:tr w:rsidR="00E63061" w14:paraId="680563CE" w14:textId="77777777" w:rsidTr="00C01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4634717" w14:textId="77777777" w:rsidR="00E63061" w:rsidRDefault="00E63061" w:rsidP="00C0192F">
            <w:pPr>
              <w:pStyle w:val="Text"/>
            </w:pPr>
            <w:r>
              <w:t>VIA</w:t>
            </w:r>
          </w:p>
        </w:tc>
        <w:tc>
          <w:tcPr>
            <w:tcW w:w="3070" w:type="dxa"/>
          </w:tcPr>
          <w:p w14:paraId="5FAB1C37" w14:textId="77777777" w:rsidR="00E63061" w:rsidRDefault="00E63061" w:rsidP="00C019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Viacom</w:t>
            </w:r>
            <w:proofErr w:type="spellEnd"/>
            <w:r>
              <w:t xml:space="preserve"> Inc.</w:t>
            </w:r>
          </w:p>
        </w:tc>
        <w:tc>
          <w:tcPr>
            <w:tcW w:w="3734" w:type="dxa"/>
          </w:tcPr>
          <w:p w14:paraId="4266422C" w14:textId="77777777" w:rsidR="00E63061" w:rsidRDefault="00E63061" w:rsidP="00BD74CB">
            <w:pPr>
              <w:pStyle w:val="Tex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27,42</w:t>
            </w:r>
          </w:p>
        </w:tc>
      </w:tr>
    </w:tbl>
    <w:p w14:paraId="31D2BD2A" w14:textId="77777777" w:rsidR="00BD74CB" w:rsidRDefault="00BD74CB">
      <w:pPr>
        <w:pStyle w:val="Titulek"/>
        <w:rPr>
          <w:color w:val="auto"/>
        </w:rPr>
      </w:pPr>
      <w:r w:rsidRPr="00BD74CB">
        <w:rPr>
          <w:color w:val="auto"/>
        </w:rPr>
        <w:t xml:space="preserve">Tabulka </w:t>
      </w:r>
      <w:r w:rsidR="00777B04" w:rsidRPr="00BD74CB">
        <w:rPr>
          <w:color w:val="auto"/>
        </w:rPr>
        <w:fldChar w:fldCharType="begin"/>
      </w:r>
      <w:r w:rsidRPr="00BD74CB">
        <w:rPr>
          <w:color w:val="auto"/>
        </w:rPr>
        <w:instrText xml:space="preserve"> SEQ Tabulka \* ARABIC </w:instrText>
      </w:r>
      <w:r w:rsidR="00777B04" w:rsidRPr="00BD74CB">
        <w:rPr>
          <w:color w:val="auto"/>
        </w:rPr>
        <w:fldChar w:fldCharType="separate"/>
      </w:r>
      <w:r w:rsidR="00DC70C9">
        <w:rPr>
          <w:noProof/>
          <w:color w:val="auto"/>
        </w:rPr>
        <w:t>1</w:t>
      </w:r>
      <w:r w:rsidR="00777B04" w:rsidRPr="00BD74CB">
        <w:rPr>
          <w:color w:val="auto"/>
        </w:rPr>
        <w:fldChar w:fldCharType="end"/>
      </w:r>
      <w:r w:rsidRPr="00BD74CB">
        <w:rPr>
          <w:color w:val="auto"/>
        </w:rPr>
        <w:t xml:space="preserve"> Společnosti v Dow Jones U.S. </w:t>
      </w:r>
      <w:proofErr w:type="spellStart"/>
      <w:r w:rsidRPr="00BD74CB">
        <w:rPr>
          <w:color w:val="auto"/>
        </w:rPr>
        <w:t>Broad</w:t>
      </w:r>
      <w:proofErr w:type="spellEnd"/>
      <w:r w:rsidRPr="00BD74CB">
        <w:rPr>
          <w:color w:val="auto"/>
        </w:rPr>
        <w:t xml:space="preserve">. &amp; </w:t>
      </w:r>
      <w:proofErr w:type="spellStart"/>
      <w:r w:rsidRPr="00BD74CB">
        <w:rPr>
          <w:color w:val="auto"/>
        </w:rPr>
        <w:t>Entertainment</w:t>
      </w:r>
      <w:proofErr w:type="spellEnd"/>
      <w:r w:rsidRPr="00BD74CB">
        <w:rPr>
          <w:color w:val="auto"/>
        </w:rPr>
        <w:t xml:space="preserve"> Index</w:t>
      </w:r>
    </w:p>
    <w:p w14:paraId="7CAFBA3D" w14:textId="77777777" w:rsidR="00BD74CB" w:rsidRPr="00BD74CB" w:rsidRDefault="00BD74CB" w:rsidP="00BD74CB"/>
    <w:p w14:paraId="7C88A906" w14:textId="77777777" w:rsidR="007372BD" w:rsidRPr="00E63061" w:rsidRDefault="007372BD" w:rsidP="007372BD">
      <w:pPr>
        <w:pStyle w:val="Nadpis2"/>
      </w:pPr>
      <w:r w:rsidRPr="00E63061">
        <w:t xml:space="preserve">Korelace akcie </w:t>
      </w:r>
      <w:proofErr w:type="spellStart"/>
      <w:r w:rsidRPr="00E63061">
        <w:t>W</w:t>
      </w:r>
      <w:r>
        <w:t>a</w:t>
      </w:r>
      <w:r w:rsidRPr="00E63061">
        <w:t>lt</w:t>
      </w:r>
      <w:proofErr w:type="spellEnd"/>
      <w:r w:rsidRPr="00E63061">
        <w:t xml:space="preserve"> </w:t>
      </w:r>
      <w:proofErr w:type="spellStart"/>
      <w:r w:rsidRPr="00E63061">
        <w:t>Disney</w:t>
      </w:r>
      <w:proofErr w:type="spellEnd"/>
      <w:r w:rsidRPr="00E63061">
        <w:t xml:space="preserve"> Co. s indexem zábavního průmyslu indexu Dow Jones</w:t>
      </w:r>
    </w:p>
    <w:p w14:paraId="21C9368E" w14:textId="77777777" w:rsidR="00E63061" w:rsidRDefault="000502B9" w:rsidP="00E63061">
      <w:pPr>
        <w:pStyle w:val="Text"/>
      </w:pPr>
      <w:r>
        <w:t xml:space="preserve">Samotná akcie s tímto indexem velice koreluje. Její korelace se </w:t>
      </w:r>
      <w:r w:rsidR="007372BD">
        <w:t>v jednotlivých sledovaných délkách období pro výpočet korelace pohybuje kolem 90%.</w:t>
      </w:r>
    </w:p>
    <w:p w14:paraId="3F3EA44D" w14:textId="77777777" w:rsidR="007372BD" w:rsidRDefault="007372BD" w:rsidP="00E63061">
      <w:pPr>
        <w:pStyle w:val="Text"/>
      </w:pPr>
    </w:p>
    <w:tbl>
      <w:tblPr>
        <w:tblStyle w:val="Sloupcetabulky1"/>
        <w:tblW w:w="0" w:type="auto"/>
        <w:jc w:val="center"/>
        <w:tblInd w:w="-978" w:type="dxa"/>
        <w:tblLook w:val="04A0" w:firstRow="1" w:lastRow="0" w:firstColumn="1" w:lastColumn="0" w:noHBand="0" w:noVBand="1"/>
      </w:tblPr>
      <w:tblGrid>
        <w:gridCol w:w="4829"/>
        <w:gridCol w:w="3300"/>
      </w:tblGrid>
      <w:tr w:rsidR="007372BD" w14:paraId="50E1B754" w14:textId="77777777" w:rsidTr="00BD7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6131F915" w14:textId="77777777" w:rsidR="007372BD" w:rsidRDefault="007372BD" w:rsidP="00E63061">
            <w:pPr>
              <w:pStyle w:val="Text"/>
            </w:pPr>
            <w:r>
              <w:t>Období</w:t>
            </w:r>
          </w:p>
        </w:tc>
        <w:tc>
          <w:tcPr>
            <w:tcW w:w="3300" w:type="dxa"/>
          </w:tcPr>
          <w:p w14:paraId="552D9609" w14:textId="77777777" w:rsidR="007372BD" w:rsidRDefault="007372BD" w:rsidP="007372BD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Korelace</w:t>
            </w:r>
          </w:p>
        </w:tc>
      </w:tr>
      <w:tr w:rsidR="007372BD" w14:paraId="18C591FB" w14:textId="77777777" w:rsidTr="00BD74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7E42E61B" w14:textId="77777777" w:rsidR="007372BD" w:rsidRDefault="007372BD" w:rsidP="007372BD">
            <w:pPr>
              <w:pStyle w:val="Text"/>
              <w:jc w:val="left"/>
            </w:pPr>
            <w:r>
              <w:t xml:space="preserve">Za </w:t>
            </w:r>
            <w:r w:rsidR="00D969B6">
              <w:t>5 let (od 1.1.2007</w:t>
            </w:r>
            <w:r>
              <w:t>)</w:t>
            </w:r>
          </w:p>
        </w:tc>
        <w:tc>
          <w:tcPr>
            <w:tcW w:w="3300" w:type="dxa"/>
          </w:tcPr>
          <w:p w14:paraId="67829CC8" w14:textId="77777777" w:rsidR="007372BD" w:rsidRDefault="007372BD" w:rsidP="007372BD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91%</w:t>
            </w:r>
          </w:p>
        </w:tc>
      </w:tr>
      <w:tr w:rsidR="007372BD" w14:paraId="2D0A60E0" w14:textId="77777777" w:rsidTr="00BD74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6E7DFE2E" w14:textId="77777777" w:rsidR="007372BD" w:rsidRDefault="007372BD" w:rsidP="00E63061">
            <w:pPr>
              <w:pStyle w:val="Text"/>
            </w:pPr>
            <w:r>
              <w:t>od 1.1.2008 do 31.12.2009</w:t>
            </w:r>
          </w:p>
        </w:tc>
        <w:tc>
          <w:tcPr>
            <w:tcW w:w="3300" w:type="dxa"/>
          </w:tcPr>
          <w:p w14:paraId="728D2D29" w14:textId="77777777" w:rsidR="007372BD" w:rsidRDefault="007372BD" w:rsidP="007372BD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97%</w:t>
            </w:r>
          </w:p>
        </w:tc>
      </w:tr>
      <w:tr w:rsidR="007372BD" w14:paraId="6C8474E6" w14:textId="77777777" w:rsidTr="00BD74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2334945" w14:textId="77777777" w:rsidR="007372BD" w:rsidRDefault="007372BD" w:rsidP="00E63061">
            <w:pPr>
              <w:pStyle w:val="Text"/>
            </w:pPr>
            <w:r>
              <w:t>Od 1.1.2011</w:t>
            </w:r>
          </w:p>
        </w:tc>
        <w:tc>
          <w:tcPr>
            <w:tcW w:w="3300" w:type="dxa"/>
          </w:tcPr>
          <w:p w14:paraId="048E9205" w14:textId="77777777" w:rsidR="007372BD" w:rsidRDefault="007372BD" w:rsidP="00BD74CB">
            <w:pPr>
              <w:pStyle w:val="Tex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87%</w:t>
            </w:r>
          </w:p>
        </w:tc>
      </w:tr>
    </w:tbl>
    <w:p w14:paraId="30859D66" w14:textId="77777777" w:rsidR="007372BD" w:rsidRPr="00BD74CB" w:rsidRDefault="00BD74CB" w:rsidP="00BD74CB">
      <w:pPr>
        <w:pStyle w:val="Titulek"/>
        <w:rPr>
          <w:color w:val="auto"/>
        </w:rPr>
      </w:pPr>
      <w:r w:rsidRPr="00BD74CB">
        <w:rPr>
          <w:color w:val="auto"/>
        </w:rPr>
        <w:t xml:space="preserve">Tabulka </w:t>
      </w:r>
      <w:r w:rsidR="00777B04" w:rsidRPr="00BD74CB">
        <w:rPr>
          <w:color w:val="auto"/>
        </w:rPr>
        <w:fldChar w:fldCharType="begin"/>
      </w:r>
      <w:r w:rsidRPr="00BD74CB">
        <w:rPr>
          <w:color w:val="auto"/>
        </w:rPr>
        <w:instrText xml:space="preserve"> SEQ Tabulka \* ARABIC </w:instrText>
      </w:r>
      <w:r w:rsidR="00777B04" w:rsidRPr="00BD74CB">
        <w:rPr>
          <w:color w:val="auto"/>
        </w:rPr>
        <w:fldChar w:fldCharType="separate"/>
      </w:r>
      <w:r w:rsidR="00DC70C9">
        <w:rPr>
          <w:noProof/>
          <w:color w:val="auto"/>
        </w:rPr>
        <w:t>2</w:t>
      </w:r>
      <w:r w:rsidR="00777B04" w:rsidRPr="00BD74CB">
        <w:rPr>
          <w:color w:val="auto"/>
        </w:rPr>
        <w:fldChar w:fldCharType="end"/>
      </w:r>
      <w:r w:rsidRPr="00BD74CB">
        <w:rPr>
          <w:color w:val="auto"/>
        </w:rPr>
        <w:t>Korelace</w:t>
      </w:r>
    </w:p>
    <w:p w14:paraId="10F4145F" w14:textId="77777777" w:rsidR="00BD74CB" w:rsidRDefault="00BD74CB" w:rsidP="00E63061">
      <w:pPr>
        <w:pStyle w:val="Text"/>
      </w:pPr>
    </w:p>
    <w:p w14:paraId="7EBE2A78" w14:textId="77777777" w:rsidR="000502B9" w:rsidRDefault="001B67CD" w:rsidP="00E63061">
      <w:pPr>
        <w:pStyle w:val="Text"/>
      </w:pPr>
      <w:r>
        <w:t>Korelace indexu zába</w:t>
      </w:r>
      <w:r w:rsidR="00BD74CB">
        <w:t>v</w:t>
      </w:r>
      <w:r>
        <w:t xml:space="preserve">ního průmyslu indexu Dow Jones a akcie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je znázorněna na tomto grafu.</w:t>
      </w:r>
    </w:p>
    <w:p w14:paraId="60703301" w14:textId="77777777" w:rsidR="001B67CD" w:rsidRDefault="001B67CD" w:rsidP="00E63061">
      <w:pPr>
        <w:pStyle w:val="Text"/>
      </w:pPr>
    </w:p>
    <w:p w14:paraId="4B619F7B" w14:textId="77777777" w:rsidR="00BD74CB" w:rsidRDefault="001B67CD" w:rsidP="00BD74CB">
      <w:pPr>
        <w:pStyle w:val="Text"/>
        <w:keepNext/>
      </w:pPr>
      <w:r>
        <w:rPr>
          <w:noProof/>
        </w:rPr>
        <w:lastRenderedPageBreak/>
        <w:drawing>
          <wp:inline distT="0" distB="0" distL="0" distR="0" wp14:anchorId="3E121276" wp14:editId="565B060B">
            <wp:extent cx="5759450" cy="2348865"/>
            <wp:effectExtent l="19050" t="0" r="0" b="0"/>
            <wp:docPr id="4" name="Picture 3" descr="DIS_DJUS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_DJUSB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FDA8" w14:textId="77777777" w:rsidR="001B67CD" w:rsidRPr="00BD74CB" w:rsidRDefault="00BD74CB" w:rsidP="00BD74CB">
      <w:pPr>
        <w:pStyle w:val="Titulek"/>
        <w:jc w:val="both"/>
        <w:rPr>
          <w:color w:val="auto"/>
        </w:rPr>
      </w:pPr>
      <w:r w:rsidRPr="00BD74CB">
        <w:rPr>
          <w:color w:val="auto"/>
        </w:rPr>
        <w:t xml:space="preserve">Graf </w:t>
      </w:r>
      <w:r w:rsidR="00777B04">
        <w:rPr>
          <w:color w:val="auto"/>
        </w:rPr>
        <w:fldChar w:fldCharType="begin"/>
      </w:r>
      <w:r>
        <w:rPr>
          <w:color w:val="auto"/>
        </w:rPr>
        <w:instrText xml:space="preserve"> SEQ Graf \* ARABIC </w:instrText>
      </w:r>
      <w:r w:rsidR="00777B04">
        <w:rPr>
          <w:color w:val="auto"/>
        </w:rPr>
        <w:fldChar w:fldCharType="separate"/>
      </w:r>
      <w:r w:rsidR="00DC70C9">
        <w:rPr>
          <w:noProof/>
          <w:color w:val="auto"/>
        </w:rPr>
        <w:t>2</w:t>
      </w:r>
      <w:r w:rsidR="00777B04">
        <w:rPr>
          <w:color w:val="auto"/>
        </w:rPr>
        <w:fldChar w:fldCharType="end"/>
      </w:r>
      <w:r w:rsidRPr="00BD74CB">
        <w:rPr>
          <w:color w:val="auto"/>
        </w:rPr>
        <w:t xml:space="preserve"> </w:t>
      </w:r>
      <w:proofErr w:type="spellStart"/>
      <w:r w:rsidRPr="00BD74CB">
        <w:rPr>
          <w:color w:val="auto"/>
        </w:rPr>
        <w:t>Walt</w:t>
      </w:r>
      <w:proofErr w:type="spellEnd"/>
      <w:r w:rsidRPr="00BD74CB">
        <w:rPr>
          <w:color w:val="auto"/>
        </w:rPr>
        <w:t xml:space="preserve"> </w:t>
      </w:r>
      <w:proofErr w:type="spellStart"/>
      <w:r w:rsidRPr="00BD74CB">
        <w:rPr>
          <w:color w:val="auto"/>
        </w:rPr>
        <w:t>Disney</w:t>
      </w:r>
      <w:proofErr w:type="spellEnd"/>
      <w:r w:rsidRPr="00BD74CB">
        <w:rPr>
          <w:color w:val="auto"/>
        </w:rPr>
        <w:t xml:space="preserve"> Co. a Dow Jones U.S. </w:t>
      </w:r>
      <w:proofErr w:type="spellStart"/>
      <w:r w:rsidRPr="00BD74CB">
        <w:rPr>
          <w:color w:val="auto"/>
        </w:rPr>
        <w:t>Broad</w:t>
      </w:r>
      <w:proofErr w:type="spellEnd"/>
      <w:r w:rsidRPr="00BD74CB">
        <w:rPr>
          <w:color w:val="auto"/>
        </w:rPr>
        <w:t xml:space="preserve">. &amp; </w:t>
      </w:r>
      <w:proofErr w:type="spellStart"/>
      <w:r w:rsidRPr="00BD74CB">
        <w:rPr>
          <w:color w:val="auto"/>
        </w:rPr>
        <w:t>Entertainment</w:t>
      </w:r>
      <w:proofErr w:type="spellEnd"/>
      <w:r w:rsidRPr="00BD74CB">
        <w:rPr>
          <w:color w:val="auto"/>
        </w:rPr>
        <w:t xml:space="preserve"> Index</w:t>
      </w:r>
    </w:p>
    <w:p w14:paraId="7B231D46" w14:textId="77777777" w:rsidR="00E63061" w:rsidRDefault="00E63061" w:rsidP="00E63061">
      <w:pPr>
        <w:pStyle w:val="Text"/>
      </w:pPr>
    </w:p>
    <w:p w14:paraId="0D270164" w14:textId="77777777" w:rsidR="00E63061" w:rsidRPr="00351783" w:rsidRDefault="00E63061" w:rsidP="00E63061">
      <w:pPr>
        <w:pStyle w:val="Nadpis1"/>
      </w:pPr>
      <w:r w:rsidRPr="00351783">
        <w:t>index Dow Jones Industrial</w:t>
      </w:r>
      <w:r>
        <w:t xml:space="preserve"> </w:t>
      </w:r>
      <w:r w:rsidRPr="00351783">
        <w:t>Average</w:t>
      </w:r>
    </w:p>
    <w:p w14:paraId="2C6D0FA7" w14:textId="77777777" w:rsidR="00E63061" w:rsidRDefault="00397DAF" w:rsidP="00E63061">
      <w:pPr>
        <w:pStyle w:val="Text"/>
      </w:pPr>
      <w:r>
        <w:t xml:space="preserve">Index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r w:rsidR="00BD74CB">
        <w:t>je jeden z</w:t>
      </w:r>
      <w:r>
        <w:t> </w:t>
      </w:r>
      <w:r w:rsidR="00BD74CB">
        <w:t>nejznámějších</w:t>
      </w:r>
      <w:r>
        <w:t xml:space="preserve"> a nejvýznamnějších</w:t>
      </w:r>
      <w:r w:rsidR="00BD74CB">
        <w:t xml:space="preserve"> ukazatelů vývoje na americkém </w:t>
      </w:r>
      <w:r w:rsidR="00BD74CB" w:rsidRPr="00397DAF">
        <w:t>akciovém</w:t>
      </w:r>
      <w:r w:rsidR="00BD74CB">
        <w:t xml:space="preserve"> trhu. Jeho</w:t>
      </w:r>
      <w:r>
        <w:t xml:space="preserve"> významnost a </w:t>
      </w:r>
      <w:r w:rsidR="00BD74CB">
        <w:t>popularita je dána především dobou, po kterou je počítán.</w:t>
      </w:r>
      <w:r w:rsidR="00BF3F9B">
        <w:t xml:space="preserve"> </w:t>
      </w:r>
    </w:p>
    <w:p w14:paraId="6EFE4797" w14:textId="77777777" w:rsidR="00BF3F9B" w:rsidRDefault="00BF3F9B" w:rsidP="00BF3F9B">
      <w:pPr>
        <w:pStyle w:val="Text"/>
      </w:pPr>
      <w:r w:rsidRPr="00BF3F9B">
        <w:t xml:space="preserve">DJIA se skládá z akcií 30 amerických společností, které patří mezi největší a nejvíce obchodované. Od roku 1896, kdy byl poprvé publikován, se jeho struktura značně změnila. Společnosti byly obměňovány, v posledních letech především rostl počet společností ze sektoru služeb. Jedinou společností, která je v indexu od jeho založení, je společnost </w:t>
      </w:r>
      <w:hyperlink r:id="rId11" w:tooltip="General Electric" w:history="1">
        <w:r w:rsidRPr="00BF3F9B">
          <w:t>General Electric</w:t>
        </w:r>
      </w:hyperlink>
      <w:r w:rsidRPr="00BF3F9B">
        <w:t>. Váha jednotlivých společností je dána cenou za jejich akcii, jedná se tedy o cenově vážený ukazatel. Většina světových indexů dnes používá váhy na základě tržních hodnot jednotlivých společností.</w:t>
      </w:r>
      <w:r w:rsidR="00035D4D">
        <w:rPr>
          <w:rStyle w:val="Znakapoznpodarou"/>
        </w:rPr>
        <w:footnoteReference w:id="3"/>
      </w:r>
    </w:p>
    <w:p w14:paraId="2C0D6876" w14:textId="77777777" w:rsidR="00BF3F9B" w:rsidRDefault="00BF3F9B" w:rsidP="00E63061">
      <w:pPr>
        <w:pStyle w:val="Text"/>
      </w:pPr>
    </w:p>
    <w:p w14:paraId="196D5368" w14:textId="77777777" w:rsidR="00E63061" w:rsidRDefault="00E63061" w:rsidP="00E63061">
      <w:pPr>
        <w:pStyle w:val="Nadpis2"/>
      </w:pPr>
      <w:r>
        <w:t xml:space="preserve">Korelace akcie a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s indexem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</w:p>
    <w:p w14:paraId="12257CC6" w14:textId="77777777" w:rsidR="00035D4D" w:rsidRDefault="00035D4D" w:rsidP="00035D4D"/>
    <w:p w14:paraId="4330700D" w14:textId="77777777" w:rsidR="00035D4D" w:rsidRDefault="00035D4D" w:rsidP="00035D4D">
      <w:r>
        <w:t xml:space="preserve">Akcie společnosti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velice pozitivně koreluje se samotným indexem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.</w:t>
      </w:r>
    </w:p>
    <w:p w14:paraId="34477E70" w14:textId="77777777" w:rsidR="00035D4D" w:rsidRDefault="008D673A" w:rsidP="00035D4D">
      <w:r>
        <w:t>Z tabulky je zřejmé, že korelace mezi těmito sledovanými se pohybuje přes 80%.</w:t>
      </w:r>
    </w:p>
    <w:p w14:paraId="35CA4EC1" w14:textId="77777777" w:rsidR="008D673A" w:rsidRDefault="008D673A" w:rsidP="00035D4D"/>
    <w:tbl>
      <w:tblPr>
        <w:tblStyle w:val="Sloupcetabulky1"/>
        <w:tblW w:w="0" w:type="auto"/>
        <w:jc w:val="center"/>
        <w:tblInd w:w="-978" w:type="dxa"/>
        <w:tblLook w:val="04A0" w:firstRow="1" w:lastRow="0" w:firstColumn="1" w:lastColumn="0" w:noHBand="0" w:noVBand="1"/>
      </w:tblPr>
      <w:tblGrid>
        <w:gridCol w:w="4829"/>
        <w:gridCol w:w="3300"/>
      </w:tblGrid>
      <w:tr w:rsidR="008D673A" w14:paraId="1183F87D" w14:textId="77777777" w:rsidTr="0044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2D3C0134" w14:textId="77777777" w:rsidR="008D673A" w:rsidRDefault="008D673A" w:rsidP="00446546">
            <w:pPr>
              <w:pStyle w:val="Text"/>
            </w:pPr>
            <w:r>
              <w:t>Období</w:t>
            </w:r>
          </w:p>
        </w:tc>
        <w:tc>
          <w:tcPr>
            <w:tcW w:w="3300" w:type="dxa"/>
          </w:tcPr>
          <w:p w14:paraId="7206FF7B" w14:textId="77777777" w:rsidR="008D673A" w:rsidRDefault="008D673A" w:rsidP="00446546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Korelace</w:t>
            </w:r>
          </w:p>
        </w:tc>
      </w:tr>
      <w:tr w:rsidR="008D673A" w14:paraId="5FC5B84B" w14:textId="77777777" w:rsidTr="00446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EE08EFB" w14:textId="77777777" w:rsidR="008D673A" w:rsidRDefault="008D673A" w:rsidP="00446546">
            <w:pPr>
              <w:pStyle w:val="Text"/>
              <w:jc w:val="left"/>
            </w:pPr>
            <w:r>
              <w:t>Za 5 let (od 1.1.2007)</w:t>
            </w:r>
          </w:p>
        </w:tc>
        <w:tc>
          <w:tcPr>
            <w:tcW w:w="3300" w:type="dxa"/>
          </w:tcPr>
          <w:p w14:paraId="57D9F62B" w14:textId="77777777" w:rsidR="008D673A" w:rsidRDefault="008D673A" w:rsidP="00446546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</w:tr>
      <w:tr w:rsidR="008D673A" w14:paraId="62B5C30D" w14:textId="77777777" w:rsidTr="00446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3F3C0BEF" w14:textId="77777777" w:rsidR="008D673A" w:rsidRDefault="008D673A" w:rsidP="00446546">
            <w:pPr>
              <w:pStyle w:val="Text"/>
            </w:pPr>
            <w:r>
              <w:t>od 1.1.2008 do 31.12.2009</w:t>
            </w:r>
          </w:p>
        </w:tc>
        <w:tc>
          <w:tcPr>
            <w:tcW w:w="3300" w:type="dxa"/>
          </w:tcPr>
          <w:p w14:paraId="7DA29EDF" w14:textId="77777777" w:rsidR="008D673A" w:rsidRDefault="008D673A" w:rsidP="00446546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93%</w:t>
            </w:r>
          </w:p>
        </w:tc>
      </w:tr>
      <w:tr w:rsidR="008D673A" w14:paraId="40B7E748" w14:textId="77777777" w:rsidTr="00446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7208B53E" w14:textId="77777777" w:rsidR="008D673A" w:rsidRDefault="008D673A" w:rsidP="00446546">
            <w:pPr>
              <w:pStyle w:val="Text"/>
            </w:pPr>
            <w:r>
              <w:t>Od 1.1.2011</w:t>
            </w:r>
          </w:p>
        </w:tc>
        <w:tc>
          <w:tcPr>
            <w:tcW w:w="3300" w:type="dxa"/>
          </w:tcPr>
          <w:p w14:paraId="531DFE76" w14:textId="77777777" w:rsidR="008D673A" w:rsidRDefault="008D673A" w:rsidP="008D673A">
            <w:pPr>
              <w:pStyle w:val="Tex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86%</w:t>
            </w:r>
          </w:p>
        </w:tc>
      </w:tr>
    </w:tbl>
    <w:p w14:paraId="6A309D01" w14:textId="77777777" w:rsidR="008D673A" w:rsidRPr="008D673A" w:rsidRDefault="008D673A" w:rsidP="008D673A">
      <w:pPr>
        <w:pStyle w:val="Titulek"/>
        <w:rPr>
          <w:color w:val="auto"/>
        </w:rPr>
      </w:pPr>
      <w:r w:rsidRPr="008D673A">
        <w:rPr>
          <w:color w:val="auto"/>
        </w:rPr>
        <w:t xml:space="preserve">Tabulka </w:t>
      </w:r>
      <w:r w:rsidR="00777B04" w:rsidRPr="008D673A">
        <w:rPr>
          <w:color w:val="auto"/>
        </w:rPr>
        <w:fldChar w:fldCharType="begin"/>
      </w:r>
      <w:r w:rsidRPr="008D673A">
        <w:rPr>
          <w:color w:val="auto"/>
        </w:rPr>
        <w:instrText xml:space="preserve"> SEQ Tabulka \* ARABIC </w:instrText>
      </w:r>
      <w:r w:rsidR="00777B04" w:rsidRPr="008D673A">
        <w:rPr>
          <w:color w:val="auto"/>
        </w:rPr>
        <w:fldChar w:fldCharType="separate"/>
      </w:r>
      <w:r w:rsidR="00DC70C9">
        <w:rPr>
          <w:noProof/>
          <w:color w:val="auto"/>
        </w:rPr>
        <w:t>3</w:t>
      </w:r>
      <w:r w:rsidR="00777B04" w:rsidRPr="008D673A">
        <w:rPr>
          <w:color w:val="auto"/>
        </w:rPr>
        <w:fldChar w:fldCharType="end"/>
      </w:r>
      <w:r>
        <w:rPr>
          <w:color w:val="auto"/>
        </w:rPr>
        <w:t xml:space="preserve"> </w:t>
      </w:r>
      <w:r w:rsidRPr="008D673A">
        <w:rPr>
          <w:color w:val="auto"/>
        </w:rPr>
        <w:t>Korelace</w:t>
      </w:r>
    </w:p>
    <w:p w14:paraId="6604261F" w14:textId="77777777" w:rsidR="008D673A" w:rsidRPr="00035D4D" w:rsidRDefault="008D673A" w:rsidP="00035D4D">
      <w:r>
        <w:t xml:space="preserve">Korelace mezi akcií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Co. a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je znázorněna na grafu níže. </w:t>
      </w:r>
    </w:p>
    <w:p w14:paraId="48376FA4" w14:textId="77777777" w:rsidR="00DC70C9" w:rsidRDefault="00F44552" w:rsidP="00DC70C9">
      <w:pPr>
        <w:pStyle w:val="Text"/>
        <w:keepNext/>
      </w:pPr>
      <w:r>
        <w:rPr>
          <w:noProof/>
        </w:rPr>
        <w:lastRenderedPageBreak/>
        <w:drawing>
          <wp:inline distT="0" distB="0" distL="0" distR="0" wp14:anchorId="7D03B147" wp14:editId="11B4F678">
            <wp:extent cx="5759450" cy="23869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2D480" w14:textId="77777777" w:rsidR="00E63061" w:rsidRPr="00DC70C9" w:rsidRDefault="00DC70C9" w:rsidP="00DC70C9">
      <w:pPr>
        <w:pStyle w:val="Titulek"/>
        <w:jc w:val="both"/>
        <w:rPr>
          <w:color w:val="auto"/>
        </w:rPr>
      </w:pPr>
      <w:r w:rsidRPr="00DC70C9">
        <w:rPr>
          <w:color w:val="auto"/>
        </w:rPr>
        <w:t xml:space="preserve">Graf </w:t>
      </w:r>
      <w:r w:rsidR="00777B04" w:rsidRPr="00DC70C9">
        <w:rPr>
          <w:color w:val="auto"/>
        </w:rPr>
        <w:fldChar w:fldCharType="begin"/>
      </w:r>
      <w:r w:rsidRPr="00DC70C9">
        <w:rPr>
          <w:color w:val="auto"/>
        </w:rPr>
        <w:instrText xml:space="preserve"> SEQ Graf \* ARABIC </w:instrText>
      </w:r>
      <w:r w:rsidR="00777B04" w:rsidRPr="00DC70C9">
        <w:rPr>
          <w:color w:val="auto"/>
        </w:rPr>
        <w:fldChar w:fldCharType="separate"/>
      </w:r>
      <w:r w:rsidRPr="00DC70C9">
        <w:rPr>
          <w:noProof/>
          <w:color w:val="auto"/>
        </w:rPr>
        <w:t>3</w:t>
      </w:r>
      <w:r w:rsidR="00777B04" w:rsidRPr="00DC70C9">
        <w:rPr>
          <w:color w:val="auto"/>
        </w:rPr>
        <w:fldChar w:fldCharType="end"/>
      </w:r>
      <w:r w:rsidRPr="00DC70C9">
        <w:rPr>
          <w:color w:val="auto"/>
        </w:rPr>
        <w:t xml:space="preserve"> </w:t>
      </w:r>
      <w:proofErr w:type="spellStart"/>
      <w:r w:rsidRPr="00DC70C9">
        <w:rPr>
          <w:color w:val="auto"/>
        </w:rPr>
        <w:t>Walt</w:t>
      </w:r>
      <w:proofErr w:type="spellEnd"/>
      <w:r w:rsidRPr="00DC70C9">
        <w:rPr>
          <w:color w:val="auto"/>
        </w:rPr>
        <w:t xml:space="preserve"> </w:t>
      </w:r>
      <w:proofErr w:type="spellStart"/>
      <w:r w:rsidRPr="00DC70C9">
        <w:rPr>
          <w:color w:val="auto"/>
        </w:rPr>
        <w:t>Disney</w:t>
      </w:r>
      <w:proofErr w:type="spellEnd"/>
      <w:r w:rsidRPr="00DC70C9">
        <w:rPr>
          <w:color w:val="auto"/>
        </w:rPr>
        <w:t xml:space="preserve"> Co. a Dow Jones U.S. </w:t>
      </w:r>
      <w:proofErr w:type="spellStart"/>
      <w:r w:rsidRPr="00DC70C9">
        <w:rPr>
          <w:color w:val="auto"/>
        </w:rPr>
        <w:t>Broad</w:t>
      </w:r>
      <w:proofErr w:type="spellEnd"/>
      <w:r w:rsidRPr="00DC70C9">
        <w:rPr>
          <w:color w:val="auto"/>
        </w:rPr>
        <w:t xml:space="preserve">. &amp; </w:t>
      </w:r>
      <w:proofErr w:type="spellStart"/>
      <w:r w:rsidRPr="00DC70C9">
        <w:rPr>
          <w:color w:val="auto"/>
        </w:rPr>
        <w:t>Entertainment</w:t>
      </w:r>
      <w:proofErr w:type="spellEnd"/>
      <w:r w:rsidRPr="00DC70C9">
        <w:rPr>
          <w:color w:val="auto"/>
        </w:rPr>
        <w:t xml:space="preserve"> Index</w:t>
      </w:r>
    </w:p>
    <w:p w14:paraId="7A5EF7E1" w14:textId="77777777" w:rsidR="00E63061" w:rsidRDefault="00E63061" w:rsidP="00E63061">
      <w:pPr>
        <w:pStyle w:val="Text"/>
      </w:pPr>
    </w:p>
    <w:p w14:paraId="28587A96" w14:textId="77777777" w:rsidR="00E63061" w:rsidRDefault="008D673A" w:rsidP="00E63061">
      <w:pPr>
        <w:pStyle w:val="Text"/>
      </w:pPr>
      <w:r>
        <w:t xml:space="preserve">Z grafu vyplývá, že v době krize akcie odepsala daleko více procent než samotný index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nicméně v době změny trendu do podoby vzestupného trendu akcie roste daleko rychleji než index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.</w:t>
      </w:r>
    </w:p>
    <w:p w14:paraId="65638C1B" w14:textId="77777777" w:rsidR="008E08A6" w:rsidRDefault="008E08A6" w:rsidP="00E63061">
      <w:pPr>
        <w:pStyle w:val="Text"/>
      </w:pPr>
    </w:p>
    <w:p w14:paraId="3702C9D1" w14:textId="77777777" w:rsidR="00E63061" w:rsidRDefault="00E63061" w:rsidP="00E63061">
      <w:pPr>
        <w:pStyle w:val="Nadpis2"/>
      </w:pPr>
      <w:r>
        <w:t>Korelace indexu</w:t>
      </w:r>
      <w:r w:rsidRPr="00E63061">
        <w:t xml:space="preserve"> zábavního průmyslu indexu Dow Jones</w:t>
      </w:r>
      <w:r>
        <w:t xml:space="preserve"> s indexem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</w:p>
    <w:p w14:paraId="010520E2" w14:textId="77777777" w:rsidR="00416F18" w:rsidRDefault="00416F18" w:rsidP="00416F18"/>
    <w:p w14:paraId="3CCB3C4B" w14:textId="77777777" w:rsidR="00416F18" w:rsidRDefault="00416F18" w:rsidP="00416F18">
      <w:r>
        <w:t xml:space="preserve">Pro </w:t>
      </w:r>
      <w:r w:rsidR="00DC70C9">
        <w:t xml:space="preserve">úplnost zde </w:t>
      </w:r>
      <w:proofErr w:type="spellStart"/>
      <w:r w:rsidR="00DC70C9">
        <w:t>jeste</w:t>
      </w:r>
      <w:proofErr w:type="spellEnd"/>
      <w:r w:rsidR="00DC70C9">
        <w:t xml:space="preserve"> uvá</w:t>
      </w:r>
      <w:r>
        <w:t>d</w:t>
      </w:r>
      <w:r w:rsidR="00DC70C9">
        <w:t>í</w:t>
      </w:r>
      <w:r>
        <w:t xml:space="preserve">m korelaci mezi indexem zábavního průmyslu indexu Dow Jones a Indexem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. Opět je zřejmá vysoká pozitivní korelace okolo 90%.</w:t>
      </w:r>
    </w:p>
    <w:p w14:paraId="5BD4D9F2" w14:textId="77777777" w:rsidR="00416F18" w:rsidRDefault="00416F18" w:rsidP="00416F18"/>
    <w:tbl>
      <w:tblPr>
        <w:tblStyle w:val="Sloupcetabulky1"/>
        <w:tblW w:w="0" w:type="auto"/>
        <w:jc w:val="center"/>
        <w:tblInd w:w="-978" w:type="dxa"/>
        <w:tblLook w:val="04A0" w:firstRow="1" w:lastRow="0" w:firstColumn="1" w:lastColumn="0" w:noHBand="0" w:noVBand="1"/>
      </w:tblPr>
      <w:tblGrid>
        <w:gridCol w:w="4829"/>
        <w:gridCol w:w="3300"/>
      </w:tblGrid>
      <w:tr w:rsidR="00416F18" w14:paraId="7B97EB8F" w14:textId="77777777" w:rsidTr="0044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FB9EFE9" w14:textId="77777777" w:rsidR="00416F18" w:rsidRDefault="00416F18" w:rsidP="00446546">
            <w:pPr>
              <w:pStyle w:val="Text"/>
            </w:pPr>
            <w:r>
              <w:t>Období</w:t>
            </w:r>
          </w:p>
        </w:tc>
        <w:tc>
          <w:tcPr>
            <w:tcW w:w="3300" w:type="dxa"/>
          </w:tcPr>
          <w:p w14:paraId="6B356CB2" w14:textId="77777777" w:rsidR="00416F18" w:rsidRDefault="00416F18" w:rsidP="00446546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Korelace</w:t>
            </w:r>
          </w:p>
        </w:tc>
      </w:tr>
      <w:tr w:rsidR="00416F18" w14:paraId="2A10C900" w14:textId="77777777" w:rsidTr="00446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E34D9BE" w14:textId="77777777" w:rsidR="00416F18" w:rsidRDefault="00416F18" w:rsidP="00446546">
            <w:pPr>
              <w:pStyle w:val="Text"/>
              <w:jc w:val="left"/>
            </w:pPr>
            <w:r>
              <w:t>Za 5 let (od 1.1.2007)</w:t>
            </w:r>
          </w:p>
        </w:tc>
        <w:tc>
          <w:tcPr>
            <w:tcW w:w="3300" w:type="dxa"/>
          </w:tcPr>
          <w:p w14:paraId="1C920D31" w14:textId="77777777" w:rsidR="00416F18" w:rsidRDefault="00416F18" w:rsidP="00446546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89%</w:t>
            </w:r>
          </w:p>
        </w:tc>
      </w:tr>
      <w:tr w:rsidR="00416F18" w14:paraId="2C2545C3" w14:textId="77777777" w:rsidTr="00446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60FBC151" w14:textId="77777777" w:rsidR="00416F18" w:rsidRDefault="00416F18" w:rsidP="00446546">
            <w:pPr>
              <w:pStyle w:val="Text"/>
            </w:pPr>
            <w:r>
              <w:t>od 1.1.2008 do 31.12.2009</w:t>
            </w:r>
          </w:p>
        </w:tc>
        <w:tc>
          <w:tcPr>
            <w:tcW w:w="3300" w:type="dxa"/>
          </w:tcPr>
          <w:p w14:paraId="353422BC" w14:textId="77777777" w:rsidR="00416F18" w:rsidRDefault="00416F18" w:rsidP="00446546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97%</w:t>
            </w:r>
          </w:p>
        </w:tc>
      </w:tr>
      <w:tr w:rsidR="00416F18" w14:paraId="3DEE2CE9" w14:textId="77777777" w:rsidTr="00446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2CF21DE9" w14:textId="77777777" w:rsidR="00416F18" w:rsidRDefault="00416F18" w:rsidP="00446546">
            <w:pPr>
              <w:pStyle w:val="Text"/>
            </w:pPr>
            <w:r>
              <w:t>Od 1.1.2011</w:t>
            </w:r>
          </w:p>
        </w:tc>
        <w:tc>
          <w:tcPr>
            <w:tcW w:w="3300" w:type="dxa"/>
          </w:tcPr>
          <w:p w14:paraId="5F7245D7" w14:textId="77777777" w:rsidR="00416F18" w:rsidRDefault="00416F18" w:rsidP="00DC70C9">
            <w:pPr>
              <w:pStyle w:val="Tex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93%</w:t>
            </w:r>
          </w:p>
        </w:tc>
      </w:tr>
    </w:tbl>
    <w:p w14:paraId="753DBE62" w14:textId="77777777" w:rsidR="00416F18" w:rsidRPr="00DC70C9" w:rsidRDefault="00DC70C9" w:rsidP="00DC70C9">
      <w:pPr>
        <w:pStyle w:val="Titulek"/>
        <w:rPr>
          <w:color w:val="auto"/>
        </w:rPr>
      </w:pPr>
      <w:r w:rsidRPr="00DC70C9">
        <w:rPr>
          <w:color w:val="auto"/>
        </w:rPr>
        <w:t xml:space="preserve">Tabulka </w:t>
      </w:r>
      <w:r w:rsidR="00777B04" w:rsidRPr="00DC70C9">
        <w:rPr>
          <w:color w:val="auto"/>
        </w:rPr>
        <w:fldChar w:fldCharType="begin"/>
      </w:r>
      <w:r w:rsidRPr="00DC70C9">
        <w:rPr>
          <w:color w:val="auto"/>
        </w:rPr>
        <w:instrText xml:space="preserve"> SEQ Tabulka \* ARABIC </w:instrText>
      </w:r>
      <w:r w:rsidR="00777B04" w:rsidRPr="00DC70C9">
        <w:rPr>
          <w:color w:val="auto"/>
        </w:rPr>
        <w:fldChar w:fldCharType="separate"/>
      </w:r>
      <w:r w:rsidRPr="00DC70C9">
        <w:rPr>
          <w:noProof/>
          <w:color w:val="auto"/>
        </w:rPr>
        <w:t>4</w:t>
      </w:r>
      <w:r w:rsidR="00777B04" w:rsidRPr="00DC70C9">
        <w:rPr>
          <w:color w:val="auto"/>
        </w:rPr>
        <w:fldChar w:fldCharType="end"/>
      </w:r>
      <w:r w:rsidRPr="00DC70C9">
        <w:rPr>
          <w:color w:val="auto"/>
        </w:rPr>
        <w:t xml:space="preserve">  Korelace</w:t>
      </w:r>
    </w:p>
    <w:p w14:paraId="5CBDAA57" w14:textId="77777777" w:rsidR="00416F18" w:rsidRDefault="00416F18" w:rsidP="00416F18">
      <w:r>
        <w:t xml:space="preserve">Níže tuto korelaci vidíme graficky </w:t>
      </w:r>
      <w:proofErr w:type="spellStart"/>
      <w:r>
        <w:t>znározněnou</w:t>
      </w:r>
      <w:proofErr w:type="spellEnd"/>
      <w:r>
        <w:t xml:space="preserve"> na základě historického vývoje obou indexů</w:t>
      </w:r>
    </w:p>
    <w:p w14:paraId="733CA571" w14:textId="77777777" w:rsidR="00416F18" w:rsidRPr="00416F18" w:rsidRDefault="00416F18" w:rsidP="00416F18"/>
    <w:p w14:paraId="78A3D815" w14:textId="77777777" w:rsidR="00DC70C9" w:rsidRDefault="00F44552" w:rsidP="00DC70C9">
      <w:pPr>
        <w:pStyle w:val="Text"/>
        <w:keepNext/>
      </w:pPr>
      <w:r w:rsidRPr="00F44552">
        <w:rPr>
          <w:noProof/>
        </w:rPr>
        <w:lastRenderedPageBreak/>
        <w:drawing>
          <wp:inline distT="0" distB="0" distL="0" distR="0" wp14:anchorId="66600EDE" wp14:editId="0E273A1C">
            <wp:extent cx="5759450" cy="2374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59D88" w14:textId="77777777" w:rsidR="00E63061" w:rsidRPr="00DC70C9" w:rsidRDefault="00DC70C9" w:rsidP="00DC70C9">
      <w:pPr>
        <w:pStyle w:val="Titulek"/>
        <w:jc w:val="both"/>
        <w:rPr>
          <w:color w:val="auto"/>
        </w:rPr>
      </w:pPr>
      <w:r w:rsidRPr="00DC70C9">
        <w:rPr>
          <w:color w:val="auto"/>
        </w:rPr>
        <w:t xml:space="preserve">Graf </w:t>
      </w:r>
      <w:r w:rsidR="00777B04" w:rsidRPr="00DC70C9">
        <w:rPr>
          <w:color w:val="auto"/>
        </w:rPr>
        <w:fldChar w:fldCharType="begin"/>
      </w:r>
      <w:r w:rsidRPr="00DC70C9">
        <w:rPr>
          <w:color w:val="auto"/>
        </w:rPr>
        <w:instrText xml:space="preserve"> SEQ Graf \* ARABIC </w:instrText>
      </w:r>
      <w:r w:rsidR="00777B04" w:rsidRPr="00DC70C9">
        <w:rPr>
          <w:color w:val="auto"/>
        </w:rPr>
        <w:fldChar w:fldCharType="separate"/>
      </w:r>
      <w:r>
        <w:rPr>
          <w:noProof/>
          <w:color w:val="auto"/>
        </w:rPr>
        <w:t>4</w:t>
      </w:r>
      <w:r w:rsidR="00777B04" w:rsidRPr="00DC70C9">
        <w:rPr>
          <w:color w:val="auto"/>
        </w:rPr>
        <w:fldChar w:fldCharType="end"/>
      </w:r>
      <w:r>
        <w:rPr>
          <w:color w:val="auto"/>
        </w:rPr>
        <w:t xml:space="preserve">  Dow Jones </w:t>
      </w:r>
      <w:proofErr w:type="spellStart"/>
      <w:r>
        <w:rPr>
          <w:color w:val="auto"/>
        </w:rPr>
        <w:t>Industrial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Average</w:t>
      </w:r>
      <w:proofErr w:type="spellEnd"/>
      <w:r w:rsidRPr="00DC70C9">
        <w:rPr>
          <w:color w:val="auto"/>
        </w:rPr>
        <w:t xml:space="preserve"> a </w:t>
      </w:r>
      <w:r w:rsidRPr="00BD74CB">
        <w:rPr>
          <w:color w:val="auto"/>
        </w:rPr>
        <w:t xml:space="preserve">Dow Jones U.S. </w:t>
      </w:r>
      <w:proofErr w:type="spellStart"/>
      <w:r w:rsidRPr="00BD74CB">
        <w:rPr>
          <w:color w:val="auto"/>
        </w:rPr>
        <w:t>Broad</w:t>
      </w:r>
      <w:proofErr w:type="spellEnd"/>
      <w:r w:rsidRPr="00BD74CB">
        <w:rPr>
          <w:color w:val="auto"/>
        </w:rPr>
        <w:t xml:space="preserve">. &amp; </w:t>
      </w:r>
      <w:proofErr w:type="spellStart"/>
      <w:r w:rsidRPr="00BD74CB">
        <w:rPr>
          <w:color w:val="auto"/>
        </w:rPr>
        <w:t>Entertainment</w:t>
      </w:r>
      <w:proofErr w:type="spellEnd"/>
      <w:r w:rsidRPr="00BD74CB">
        <w:rPr>
          <w:color w:val="auto"/>
        </w:rPr>
        <w:t xml:space="preserve"> Index</w:t>
      </w:r>
    </w:p>
    <w:p w14:paraId="2C9946A5" w14:textId="77777777" w:rsidR="00F44552" w:rsidRDefault="00F44552" w:rsidP="00E63061">
      <w:pPr>
        <w:pStyle w:val="Text"/>
      </w:pPr>
    </w:p>
    <w:p w14:paraId="0F37F26C" w14:textId="77777777" w:rsidR="00416F18" w:rsidRDefault="00416F18" w:rsidP="00E63061">
      <w:pPr>
        <w:pStyle w:val="Text"/>
      </w:pPr>
      <w:r>
        <w:t xml:space="preserve">Je zřejmé, že index zábavního průmyslu indexu Dow Jones v době krize odepsal značnou část své hodnoty. Přesně se jednalo o 60% své původní hodnoty před pádem banky </w:t>
      </w:r>
      <w:proofErr w:type="spellStart"/>
      <w:r>
        <w:t>Lehman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. Hodnota indexu zábavního průmyslu indexu Dow Jones byla před pádem </w:t>
      </w:r>
      <w:proofErr w:type="spellStart"/>
      <w:r>
        <w:t>Lehman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okolo 470 bodů a po roce 2009 se hodnota ocitla a</w:t>
      </w:r>
      <w:r w:rsidR="00ED6786">
        <w:t>ž</w:t>
      </w:r>
      <w:r>
        <w:t xml:space="preserve"> na h</w:t>
      </w:r>
      <w:r w:rsidR="00CC0D72">
        <w:t>odnotě</w:t>
      </w:r>
      <w:r>
        <w:t xml:space="preserve"> okolo 180 bodů. </w:t>
      </w:r>
    </w:p>
    <w:p w14:paraId="705BE1D6" w14:textId="77777777" w:rsidR="00CC0D72" w:rsidRDefault="00CC0D72" w:rsidP="00E63061">
      <w:pPr>
        <w:pStyle w:val="Text"/>
      </w:pPr>
      <w:r>
        <w:t xml:space="preserve">Naopak index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naprosti</w:t>
      </w:r>
      <w:proofErr w:type="spellEnd"/>
      <w:r>
        <w:t xml:space="preserve"> tomu ztratil „pouze“ přes 40%.</w:t>
      </w:r>
    </w:p>
    <w:p w14:paraId="0FF3CF53" w14:textId="77777777" w:rsidR="00ED6786" w:rsidRDefault="00ED6786" w:rsidP="00E63061">
      <w:pPr>
        <w:pStyle w:val="Text"/>
      </w:pPr>
      <w:r>
        <w:t xml:space="preserve">I v tomto případě je jasně zřetelné, že index zábavního průmyslu indexu Dow Jones se ze dna odrazil a rostl daleko rychleji než index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.</w:t>
      </w:r>
    </w:p>
    <w:p w14:paraId="17654AF1" w14:textId="77777777" w:rsidR="00416F18" w:rsidRDefault="00416F18" w:rsidP="00E63061">
      <w:pPr>
        <w:pStyle w:val="Literatura"/>
      </w:pPr>
    </w:p>
    <w:p w14:paraId="23F8C456" w14:textId="77777777" w:rsidR="00416F18" w:rsidRDefault="00DC70C9" w:rsidP="00DC70C9">
      <w:pPr>
        <w:pStyle w:val="Nadpis1"/>
      </w:pPr>
      <w:r>
        <w:t>závěr</w:t>
      </w:r>
    </w:p>
    <w:p w14:paraId="1990E758" w14:textId="77777777" w:rsidR="00E63061" w:rsidRPr="007E14AB" w:rsidRDefault="00CC0D72" w:rsidP="00E63061">
      <w:pPr>
        <w:pStyle w:val="Literatura"/>
        <w:rPr>
          <w:b w:val="0"/>
        </w:rPr>
      </w:pPr>
      <w:r w:rsidRPr="007E14AB">
        <w:rPr>
          <w:b w:val="0"/>
        </w:rPr>
        <w:t xml:space="preserve">Investice do defenzivních akcií anticyklických odvětví může být v dobách hospodářské recese řešením. </w:t>
      </w:r>
      <w:proofErr w:type="spellStart"/>
      <w:r w:rsidRPr="007E14AB">
        <w:rPr>
          <w:b w:val="0"/>
        </w:rPr>
        <w:t>Nicnémě</w:t>
      </w:r>
      <w:proofErr w:type="spellEnd"/>
      <w:r w:rsidRPr="007E14AB">
        <w:rPr>
          <w:b w:val="0"/>
        </w:rPr>
        <w:t xml:space="preserve"> jak je patrné z této práce, je důležitý výběr jednotlivých titulů do svého portfolia. M</w:t>
      </w:r>
      <w:r w:rsidR="00DC70C9" w:rsidRPr="007E14AB">
        <w:rPr>
          <w:b w:val="0"/>
        </w:rPr>
        <w:t xml:space="preserve">noho investorů dá na rady analytiků, redaktorů a makléřů. Podstatné však je spolehnout se ve finále na své vlastní rozhodnutí a zkušenosti. </w:t>
      </w:r>
      <w:r w:rsidRPr="007E14AB">
        <w:rPr>
          <w:b w:val="0"/>
        </w:rPr>
        <w:t xml:space="preserve">Důležité je opřít se o historii, poznat jak daná akcie reaguje v takto těžkých a </w:t>
      </w:r>
      <w:proofErr w:type="spellStart"/>
      <w:r w:rsidRPr="007E14AB">
        <w:rPr>
          <w:b w:val="0"/>
        </w:rPr>
        <w:t>volatilních</w:t>
      </w:r>
      <w:proofErr w:type="spellEnd"/>
      <w:r w:rsidRPr="007E14AB">
        <w:rPr>
          <w:b w:val="0"/>
        </w:rPr>
        <w:t xml:space="preserve"> dobách.</w:t>
      </w:r>
      <w:r w:rsidR="00E63061" w:rsidRPr="007E14AB">
        <w:rPr>
          <w:b w:val="0"/>
        </w:rPr>
        <w:br w:type="page"/>
      </w:r>
      <w:r w:rsidR="00E63061" w:rsidRPr="007E14AB">
        <w:rPr>
          <w:b w:val="0"/>
        </w:rPr>
        <w:lastRenderedPageBreak/>
        <w:t xml:space="preserve">Použitá literatura </w:t>
      </w:r>
    </w:p>
    <w:p w14:paraId="6707D51C" w14:textId="77777777" w:rsidR="00E63061" w:rsidRPr="00F242F8" w:rsidRDefault="00F242F8" w:rsidP="00E63061">
      <w:pPr>
        <w:pStyle w:val="Seznamliteratury"/>
      </w:pPr>
      <w:r>
        <w:rPr>
          <w:rFonts w:ascii="Arial" w:eastAsiaTheme="minorHAnsi" w:hAnsi="Arial" w:cs="Arial"/>
          <w:sz w:val="26"/>
          <w:szCs w:val="26"/>
          <w:lang w:val="en-US" w:eastAsia="en-US"/>
        </w:rPr>
        <w:t xml:space="preserve">MUSÍLEK, Petr. </w:t>
      </w:r>
      <w:proofErr w:type="spellStart"/>
      <w:r>
        <w:rPr>
          <w:rFonts w:ascii="Arial" w:eastAsiaTheme="minorHAnsi" w:hAnsi="Arial" w:cs="Arial"/>
          <w:i/>
          <w:iCs/>
          <w:sz w:val="26"/>
          <w:szCs w:val="26"/>
          <w:lang w:val="en-US" w:eastAsia="en-US"/>
        </w:rPr>
        <w:t>Trhy</w:t>
      </w:r>
      <w:proofErr w:type="spellEnd"/>
      <w:r>
        <w:rPr>
          <w:rFonts w:ascii="Arial" w:eastAsiaTheme="minorHAnsi" w:hAnsi="Arial" w:cs="Arial"/>
          <w:i/>
          <w:iCs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6"/>
          <w:szCs w:val="26"/>
          <w:lang w:val="en-US" w:eastAsia="en-US"/>
        </w:rPr>
        <w:t>cenných</w:t>
      </w:r>
      <w:proofErr w:type="spellEnd"/>
      <w:r>
        <w:rPr>
          <w:rFonts w:ascii="Arial" w:eastAsiaTheme="minorHAnsi" w:hAnsi="Arial" w:cs="Arial"/>
          <w:i/>
          <w:iCs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6"/>
          <w:szCs w:val="26"/>
          <w:lang w:val="en-US" w:eastAsia="en-US"/>
        </w:rPr>
        <w:t>papírů</w:t>
      </w:r>
      <w:proofErr w:type="spellEnd"/>
      <w:r>
        <w:rPr>
          <w:rFonts w:ascii="Arial" w:eastAsiaTheme="minorHAnsi" w:hAnsi="Arial" w:cs="Arial"/>
          <w:sz w:val="26"/>
          <w:szCs w:val="26"/>
          <w:lang w:val="en-US" w:eastAsia="en-US"/>
        </w:rPr>
        <w:t xml:space="preserve">. 1.vyd. </w:t>
      </w:r>
      <w:proofErr w:type="spellStart"/>
      <w:r>
        <w:rPr>
          <w:rFonts w:ascii="Arial" w:eastAsiaTheme="minorHAnsi" w:hAnsi="Arial" w:cs="Arial"/>
          <w:sz w:val="26"/>
          <w:szCs w:val="26"/>
          <w:lang w:val="en-US" w:eastAsia="en-US"/>
        </w:rPr>
        <w:t>Praha</w:t>
      </w:r>
      <w:proofErr w:type="spellEnd"/>
      <w:r>
        <w:rPr>
          <w:rFonts w:ascii="Arial" w:eastAsiaTheme="minorHAnsi" w:hAnsi="Arial" w:cs="Arial"/>
          <w:sz w:val="26"/>
          <w:szCs w:val="26"/>
          <w:lang w:val="en-US" w:eastAsia="en-US"/>
        </w:rPr>
        <w:t xml:space="preserve">: </w:t>
      </w:r>
      <w:proofErr w:type="spellStart"/>
      <w:r>
        <w:rPr>
          <w:rFonts w:ascii="Arial" w:eastAsiaTheme="minorHAnsi" w:hAnsi="Arial" w:cs="Arial"/>
          <w:sz w:val="26"/>
          <w:szCs w:val="26"/>
          <w:lang w:val="en-US" w:eastAsia="en-US"/>
        </w:rPr>
        <w:t>Ekopress</w:t>
      </w:r>
      <w:proofErr w:type="spellEnd"/>
      <w:r>
        <w:rPr>
          <w:rFonts w:ascii="Arial" w:eastAsiaTheme="minorHAnsi" w:hAnsi="Arial" w:cs="Arial"/>
          <w:sz w:val="26"/>
          <w:szCs w:val="26"/>
          <w:lang w:val="en-US" w:eastAsia="en-US"/>
        </w:rPr>
        <w:t>, 2002, 459 s. ISBN 80-861-1955-6.</w:t>
      </w:r>
    </w:p>
    <w:p w14:paraId="32879194" w14:textId="77777777" w:rsidR="00F242F8" w:rsidRDefault="00F242F8" w:rsidP="00E63061">
      <w:pPr>
        <w:pStyle w:val="Seznamliteratury"/>
      </w:pPr>
      <w:r w:rsidRPr="00F242F8">
        <w:t>www.vsj.com</w:t>
      </w:r>
    </w:p>
    <w:p w14:paraId="15E89EA7" w14:textId="77777777" w:rsidR="00F242F8" w:rsidRDefault="00F242F8" w:rsidP="00E63061">
      <w:pPr>
        <w:pStyle w:val="Seznamliteratury"/>
      </w:pPr>
      <w:r w:rsidRPr="00F242F8">
        <w:t>www.investopedia.com</w:t>
      </w:r>
    </w:p>
    <w:p w14:paraId="181B35E0" w14:textId="77777777" w:rsidR="00F242F8" w:rsidRDefault="00F242F8" w:rsidP="00F242F8">
      <w:pPr>
        <w:pStyle w:val="Seznamliteratury"/>
        <w:numPr>
          <w:ilvl w:val="0"/>
          <w:numId w:val="0"/>
        </w:numPr>
        <w:ind w:left="851"/>
      </w:pPr>
    </w:p>
    <w:p w14:paraId="66EE979B" w14:textId="77777777" w:rsidR="00E63061" w:rsidRDefault="00E63061" w:rsidP="00E63061"/>
    <w:p w14:paraId="6A3B0F37" w14:textId="77777777" w:rsidR="00E63061" w:rsidRDefault="00E63061" w:rsidP="00E63061">
      <w:pPr>
        <w:pStyle w:val="Kontaktndaje"/>
      </w:pPr>
      <w:r>
        <w:t>Kontaktní údaje</w:t>
      </w:r>
    </w:p>
    <w:p w14:paraId="76C39F1F" w14:textId="77777777" w:rsidR="00E63061" w:rsidRPr="00415CF9" w:rsidRDefault="00E63061" w:rsidP="00E63061">
      <w:pPr>
        <w:pStyle w:val="Kontaktndajetext"/>
      </w:pPr>
      <w:r>
        <w:t xml:space="preserve">Ing. </w:t>
      </w:r>
      <w:r w:rsidR="00057060">
        <w:t>Jiří Vataha</w:t>
      </w:r>
    </w:p>
    <w:p w14:paraId="49BC68EA" w14:textId="77777777" w:rsidR="00E63061" w:rsidRDefault="00057060" w:rsidP="00E63061">
      <w:pPr>
        <w:pStyle w:val="Kontaktndajetext"/>
      </w:pPr>
      <w:r>
        <w:t>Vysoká škola finanční a správní</w:t>
      </w:r>
      <w:r w:rsidR="00E63061" w:rsidRPr="007A3A03">
        <w:t>, Fakulta</w:t>
      </w:r>
      <w:r>
        <w:t xml:space="preserve"> ekonomických studií</w:t>
      </w:r>
    </w:p>
    <w:p w14:paraId="5C11AE33" w14:textId="77777777" w:rsidR="00E63061" w:rsidRPr="00CE50CD" w:rsidRDefault="00057060" w:rsidP="00E63061">
      <w:pPr>
        <w:pStyle w:val="Kontaktndajetext"/>
      </w:pPr>
      <w:r>
        <w:t>Estonská 500</w:t>
      </w:r>
      <w:r w:rsidR="00E63061">
        <w:t xml:space="preserve">, </w:t>
      </w:r>
      <w:r>
        <w:t>101 00 Praha 10</w:t>
      </w:r>
      <w:r w:rsidR="00E63061">
        <w:t xml:space="preserve"> </w:t>
      </w:r>
    </w:p>
    <w:p w14:paraId="2D54C886" w14:textId="77777777" w:rsidR="00E63061" w:rsidRDefault="00E63061" w:rsidP="00E63061">
      <w:pPr>
        <w:pStyle w:val="Kontaktndajetext"/>
      </w:pPr>
      <w:r>
        <w:t xml:space="preserve">Tel: </w:t>
      </w:r>
      <w:r w:rsidR="00057060">
        <w:t>739 260 405</w:t>
      </w:r>
    </w:p>
    <w:p w14:paraId="289D8909" w14:textId="77777777" w:rsidR="00E63061" w:rsidRPr="00415CF9" w:rsidRDefault="00E63061" w:rsidP="00E63061">
      <w:pPr>
        <w:pStyle w:val="Kontaktndajetext"/>
      </w:pPr>
      <w:r>
        <w:t>e</w:t>
      </w:r>
      <w:r w:rsidRPr="007A3A03">
        <w:t xml:space="preserve">mail: </w:t>
      </w:r>
      <w:r w:rsidR="00057060">
        <w:t>vatahaj</w:t>
      </w:r>
      <w:r>
        <w:t>@</w:t>
      </w:r>
      <w:r w:rsidR="00F44552">
        <w:t>seznam</w:t>
      </w:r>
      <w:r>
        <w:t>.cz</w:t>
      </w:r>
    </w:p>
    <w:p w14:paraId="3E9ED544" w14:textId="77777777" w:rsidR="00E63061" w:rsidRPr="00415CF9" w:rsidRDefault="00E63061" w:rsidP="00E63061"/>
    <w:p w14:paraId="6E6877FA" w14:textId="77777777" w:rsidR="00E63061" w:rsidRPr="00415CF9" w:rsidRDefault="00E63061" w:rsidP="00E63061"/>
    <w:p w14:paraId="38CFAFB3" w14:textId="77777777" w:rsidR="00E63061" w:rsidRPr="00415CF9" w:rsidRDefault="00E63061" w:rsidP="00E63061"/>
    <w:p w14:paraId="129445DD" w14:textId="77777777" w:rsidR="00E63061" w:rsidRPr="00415CF9" w:rsidRDefault="00E63061" w:rsidP="00E63061"/>
    <w:p w14:paraId="5D48EEF9" w14:textId="77777777" w:rsidR="00A6227B" w:rsidRDefault="00AB56A6"/>
    <w:sectPr w:rsidR="00A6227B" w:rsidSect="002709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EF2B5" w14:textId="77777777" w:rsidR="0032406B" w:rsidRDefault="0032406B" w:rsidP="008A1F05">
      <w:r>
        <w:separator/>
      </w:r>
    </w:p>
  </w:endnote>
  <w:endnote w:type="continuationSeparator" w:id="0">
    <w:p w14:paraId="5D7497C3" w14:textId="77777777" w:rsidR="0032406B" w:rsidRDefault="0032406B" w:rsidP="008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D0763" w14:textId="77777777" w:rsidR="0032406B" w:rsidRDefault="0032406B" w:rsidP="008A1F05">
      <w:r>
        <w:separator/>
      </w:r>
    </w:p>
  </w:footnote>
  <w:footnote w:type="continuationSeparator" w:id="0">
    <w:p w14:paraId="54556940" w14:textId="77777777" w:rsidR="0032406B" w:rsidRDefault="0032406B" w:rsidP="008A1F05">
      <w:r>
        <w:continuationSeparator/>
      </w:r>
    </w:p>
  </w:footnote>
  <w:footnote w:id="1">
    <w:p w14:paraId="696E63EF" w14:textId="77777777" w:rsidR="008A1F05" w:rsidRDefault="008A1F05">
      <w:pPr>
        <w:pStyle w:val="Textpoznpodarou"/>
      </w:pPr>
      <w:r>
        <w:rPr>
          <w:rStyle w:val="Znakapoznpodarou"/>
        </w:rPr>
        <w:footnoteRef/>
      </w:r>
      <w:r w:rsidR="003B4CFC">
        <w:t xml:space="preserve"> MUSÍLEK, P. Trhy cenných papírů.</w:t>
      </w:r>
      <w:r>
        <w:t xml:space="preserve"> str. 294</w:t>
      </w:r>
    </w:p>
  </w:footnote>
  <w:footnote w:id="2">
    <w:p w14:paraId="4AFCB61E" w14:textId="77777777" w:rsidR="003B4CFC" w:rsidRDefault="003B4CFC">
      <w:pPr>
        <w:pStyle w:val="Textpoznpodarou"/>
      </w:pPr>
      <w:r>
        <w:rPr>
          <w:rStyle w:val="Znakapoznpodarou"/>
        </w:rPr>
        <w:footnoteRef/>
      </w:r>
      <w:r>
        <w:t xml:space="preserve"> Wall Street </w:t>
      </w:r>
      <w:proofErr w:type="spellStart"/>
      <w:r>
        <w:t>Journal</w:t>
      </w:r>
      <w:proofErr w:type="spellEnd"/>
      <w:r>
        <w:t>, internetový magazín</w:t>
      </w:r>
    </w:p>
  </w:footnote>
  <w:footnote w:id="3">
    <w:p w14:paraId="5BE3851F" w14:textId="77777777" w:rsidR="00035D4D" w:rsidRDefault="00035D4D">
      <w:pPr>
        <w:pStyle w:val="Textpoznpodarou"/>
      </w:pPr>
      <w:r>
        <w:rPr>
          <w:rStyle w:val="Znakapoznpodarou"/>
        </w:rPr>
        <w:footnoteRef/>
      </w:r>
      <w:r>
        <w:t xml:space="preserve"> Investopedia.com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4BC"/>
    <w:multiLevelType w:val="hybridMultilevel"/>
    <w:tmpl w:val="665EB3E6"/>
    <w:lvl w:ilvl="0" w:tplc="B60C7C6A">
      <w:start w:val="1"/>
      <w:numFmt w:val="decimal"/>
      <w:pStyle w:val="Seznamliteratury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13550"/>
    <w:multiLevelType w:val="multilevel"/>
    <w:tmpl w:val="33A0E96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9883A88"/>
    <w:multiLevelType w:val="hybridMultilevel"/>
    <w:tmpl w:val="EC0AD424"/>
    <w:lvl w:ilvl="0" w:tplc="04324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2C7D"/>
    <w:multiLevelType w:val="multilevel"/>
    <w:tmpl w:val="65DC4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30119A"/>
    <w:multiLevelType w:val="multilevel"/>
    <w:tmpl w:val="A75639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CDA671B"/>
    <w:multiLevelType w:val="multilevel"/>
    <w:tmpl w:val="F7AE9370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1"/>
    <w:rsid w:val="0000100F"/>
    <w:rsid w:val="00035D4D"/>
    <w:rsid w:val="000502B9"/>
    <w:rsid w:val="00057060"/>
    <w:rsid w:val="00111837"/>
    <w:rsid w:val="001B67CD"/>
    <w:rsid w:val="001C4DF8"/>
    <w:rsid w:val="0032406B"/>
    <w:rsid w:val="00327B8C"/>
    <w:rsid w:val="00336CFD"/>
    <w:rsid w:val="0039190D"/>
    <w:rsid w:val="00397DAF"/>
    <w:rsid w:val="003B4CFC"/>
    <w:rsid w:val="00416F18"/>
    <w:rsid w:val="004919FA"/>
    <w:rsid w:val="00573CD6"/>
    <w:rsid w:val="006155D8"/>
    <w:rsid w:val="00663D5A"/>
    <w:rsid w:val="00666410"/>
    <w:rsid w:val="006B5E81"/>
    <w:rsid w:val="007372BD"/>
    <w:rsid w:val="00777B04"/>
    <w:rsid w:val="007D4753"/>
    <w:rsid w:val="007E14AB"/>
    <w:rsid w:val="008A1F05"/>
    <w:rsid w:val="008B4AF0"/>
    <w:rsid w:val="008D673A"/>
    <w:rsid w:val="008E08A6"/>
    <w:rsid w:val="00A824AF"/>
    <w:rsid w:val="00AB56A6"/>
    <w:rsid w:val="00BD74CB"/>
    <w:rsid w:val="00BF3F9B"/>
    <w:rsid w:val="00C65031"/>
    <w:rsid w:val="00CC0D72"/>
    <w:rsid w:val="00D969B6"/>
    <w:rsid w:val="00DC70C9"/>
    <w:rsid w:val="00E34049"/>
    <w:rsid w:val="00E63061"/>
    <w:rsid w:val="00ED6786"/>
    <w:rsid w:val="00F22FF9"/>
    <w:rsid w:val="00F242F8"/>
    <w:rsid w:val="00F44552"/>
    <w:rsid w:val="00F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5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kapitoly"/>
    <w:next w:val="Normln"/>
    <w:link w:val="Nadpis1Char"/>
    <w:qFormat/>
    <w:rsid w:val="00E63061"/>
    <w:pPr>
      <w:numPr>
        <w:numId w:val="5"/>
      </w:numPr>
    </w:pPr>
    <w:rPr>
      <w:iCs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E63061"/>
    <w:pPr>
      <w:numPr>
        <w:ilvl w:val="1"/>
      </w:numPr>
      <w:outlineLvl w:val="1"/>
    </w:pPr>
  </w:style>
  <w:style w:type="paragraph" w:styleId="Nadpis3">
    <w:name w:val="heading 3"/>
    <w:basedOn w:val="Style1"/>
    <w:next w:val="Normln"/>
    <w:link w:val="Nadpis3Char"/>
    <w:qFormat/>
    <w:rsid w:val="00E63061"/>
    <w:pPr>
      <w:numPr>
        <w:ilvl w:val="2"/>
        <w:numId w:val="5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3061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306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306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306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306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306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061"/>
    <w:rPr>
      <w:rFonts w:ascii="Times New Roman" w:eastAsia="Times New Roman" w:hAnsi="Times New Roman" w:cs="Times New Roman"/>
      <w:b/>
      <w:iCs/>
      <w:cap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6306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zevpspvku">
    <w:name w:val="Název příspěvku"/>
    <w:basedOn w:val="Normln"/>
    <w:next w:val="Normln"/>
    <w:rsid w:val="00E63061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rsid w:val="00E63061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"/>
    <w:next w:val="Normln"/>
    <w:rsid w:val="00E63061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E63061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"/>
    <w:rsid w:val="00E63061"/>
    <w:pPr>
      <w:spacing w:before="240"/>
    </w:pPr>
    <w:rPr>
      <w:b/>
    </w:rPr>
  </w:style>
  <w:style w:type="paragraph" w:customStyle="1" w:styleId="Kontaktndajetext">
    <w:name w:val="Kontaktní údaje text"/>
    <w:basedOn w:val="Normln"/>
    <w:rsid w:val="00E63061"/>
  </w:style>
  <w:style w:type="paragraph" w:customStyle="1" w:styleId="Nadpiskapitoly">
    <w:name w:val="Nadpis kapitoly"/>
    <w:basedOn w:val="Normln"/>
    <w:next w:val="Text"/>
    <w:rsid w:val="00E63061"/>
    <w:pPr>
      <w:keepNext/>
      <w:numPr>
        <w:numId w:val="3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"/>
    <w:next w:val="Text"/>
    <w:rsid w:val="00E63061"/>
    <w:pPr>
      <w:keepNext/>
      <w:numPr>
        <w:ilvl w:val="1"/>
        <w:numId w:val="3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E63061"/>
    <w:pPr>
      <w:spacing w:before="120"/>
      <w:jc w:val="both"/>
    </w:pPr>
  </w:style>
  <w:style w:type="paragraph" w:customStyle="1" w:styleId="Literatura">
    <w:name w:val="Literatura"/>
    <w:basedOn w:val="Normln"/>
    <w:next w:val="Normln"/>
    <w:rsid w:val="00E63061"/>
    <w:pPr>
      <w:spacing w:before="240"/>
    </w:pPr>
    <w:rPr>
      <w:b/>
    </w:rPr>
  </w:style>
  <w:style w:type="paragraph" w:customStyle="1" w:styleId="Kontakt">
    <w:name w:val="Kontakt"/>
    <w:basedOn w:val="Normln"/>
    <w:next w:val="Text"/>
    <w:rsid w:val="00E63061"/>
    <w:pPr>
      <w:jc w:val="center"/>
    </w:pPr>
  </w:style>
  <w:style w:type="paragraph" w:customStyle="1" w:styleId="Seznamliteratury">
    <w:name w:val="Seznam literatury"/>
    <w:basedOn w:val="Normln"/>
    <w:rsid w:val="00E63061"/>
    <w:pPr>
      <w:numPr>
        <w:numId w:val="2"/>
      </w:numPr>
    </w:pPr>
  </w:style>
  <w:style w:type="paragraph" w:customStyle="1" w:styleId="Title1">
    <w:name w:val="Title1"/>
    <w:basedOn w:val="Normln"/>
    <w:next w:val="Normln"/>
    <w:rsid w:val="00E63061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E63061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E63061"/>
    <w:rPr>
      <w:lang w:val="cs-CZ"/>
    </w:rPr>
  </w:style>
  <w:style w:type="character" w:customStyle="1" w:styleId="Abstract-textChar">
    <w:name w:val="Abstract - text Char"/>
    <w:basedOn w:val="Standardnpsmoodstavce"/>
    <w:link w:val="Abstract-text"/>
    <w:rsid w:val="00E63061"/>
    <w:rPr>
      <w:rFonts w:ascii="Times New Roman" w:eastAsia="Times New Roman" w:hAnsi="Times New Roman" w:cs="Times New Roman"/>
      <w:sz w:val="24"/>
      <w:szCs w:val="26"/>
      <w:lang w:val="en-US" w:eastAsia="cs-CZ"/>
    </w:rPr>
  </w:style>
  <w:style w:type="character" w:customStyle="1" w:styleId="Abstrakt-textChar">
    <w:name w:val="Abstrakt - text Char"/>
    <w:basedOn w:val="Abstract-textChar"/>
    <w:link w:val="Abstrakt-text"/>
    <w:rsid w:val="00E63061"/>
    <w:rPr>
      <w:rFonts w:ascii="Times New Roman" w:eastAsia="Times New Roman" w:hAnsi="Times New Roman" w:cs="Times New Roman"/>
      <w:sz w:val="24"/>
      <w:szCs w:val="26"/>
      <w:lang w:val="en-US" w:eastAsia="cs-CZ"/>
    </w:rPr>
  </w:style>
  <w:style w:type="paragraph" w:customStyle="1" w:styleId="KeyWords">
    <w:name w:val="KeyWords"/>
    <w:basedOn w:val="Text"/>
    <w:next w:val="Text"/>
    <w:rsid w:val="00E63061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E63061"/>
    <w:pPr>
      <w:spacing w:before="240"/>
    </w:pPr>
    <w:rPr>
      <w:i/>
      <w:szCs w:val="26"/>
    </w:rPr>
  </w:style>
  <w:style w:type="table" w:styleId="Sloupcetabulky1">
    <w:name w:val="Table Columns 1"/>
    <w:basedOn w:val="Normlntabulka"/>
    <w:rsid w:val="00E630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adpispodkapitoly"/>
    <w:next w:val="Nadpis2"/>
    <w:qFormat/>
    <w:rsid w:val="00E63061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6306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06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30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30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30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30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30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3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3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BD74C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74CB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A1F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A1F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A1F0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A1F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F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A1F0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BF3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kapitoly"/>
    <w:next w:val="Normln"/>
    <w:link w:val="Nadpis1Char"/>
    <w:qFormat/>
    <w:rsid w:val="00E63061"/>
    <w:pPr>
      <w:numPr>
        <w:numId w:val="5"/>
      </w:numPr>
    </w:pPr>
    <w:rPr>
      <w:iCs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E63061"/>
    <w:pPr>
      <w:numPr>
        <w:ilvl w:val="1"/>
      </w:numPr>
      <w:outlineLvl w:val="1"/>
    </w:pPr>
  </w:style>
  <w:style w:type="paragraph" w:styleId="Nadpis3">
    <w:name w:val="heading 3"/>
    <w:basedOn w:val="Style1"/>
    <w:next w:val="Normln"/>
    <w:link w:val="Nadpis3Char"/>
    <w:qFormat/>
    <w:rsid w:val="00E63061"/>
    <w:pPr>
      <w:numPr>
        <w:ilvl w:val="2"/>
        <w:numId w:val="5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3061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306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306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306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306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306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061"/>
    <w:rPr>
      <w:rFonts w:ascii="Times New Roman" w:eastAsia="Times New Roman" w:hAnsi="Times New Roman" w:cs="Times New Roman"/>
      <w:b/>
      <w:iCs/>
      <w:cap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6306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zevpspvku">
    <w:name w:val="Název příspěvku"/>
    <w:basedOn w:val="Normln"/>
    <w:next w:val="Normln"/>
    <w:rsid w:val="00E63061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rsid w:val="00E63061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"/>
    <w:next w:val="Normln"/>
    <w:rsid w:val="00E63061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E63061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"/>
    <w:rsid w:val="00E63061"/>
    <w:pPr>
      <w:spacing w:before="240"/>
    </w:pPr>
    <w:rPr>
      <w:b/>
    </w:rPr>
  </w:style>
  <w:style w:type="paragraph" w:customStyle="1" w:styleId="Kontaktndajetext">
    <w:name w:val="Kontaktní údaje text"/>
    <w:basedOn w:val="Normln"/>
    <w:rsid w:val="00E63061"/>
  </w:style>
  <w:style w:type="paragraph" w:customStyle="1" w:styleId="Nadpiskapitoly">
    <w:name w:val="Nadpis kapitoly"/>
    <w:basedOn w:val="Normln"/>
    <w:next w:val="Text"/>
    <w:rsid w:val="00E63061"/>
    <w:pPr>
      <w:keepNext/>
      <w:numPr>
        <w:numId w:val="3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"/>
    <w:next w:val="Text"/>
    <w:rsid w:val="00E63061"/>
    <w:pPr>
      <w:keepNext/>
      <w:numPr>
        <w:ilvl w:val="1"/>
        <w:numId w:val="3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E63061"/>
    <w:pPr>
      <w:spacing w:before="120"/>
      <w:jc w:val="both"/>
    </w:pPr>
  </w:style>
  <w:style w:type="paragraph" w:customStyle="1" w:styleId="Literatura">
    <w:name w:val="Literatura"/>
    <w:basedOn w:val="Normln"/>
    <w:next w:val="Normln"/>
    <w:rsid w:val="00E63061"/>
    <w:pPr>
      <w:spacing w:before="240"/>
    </w:pPr>
    <w:rPr>
      <w:b/>
    </w:rPr>
  </w:style>
  <w:style w:type="paragraph" w:customStyle="1" w:styleId="Kontakt">
    <w:name w:val="Kontakt"/>
    <w:basedOn w:val="Normln"/>
    <w:next w:val="Text"/>
    <w:rsid w:val="00E63061"/>
    <w:pPr>
      <w:jc w:val="center"/>
    </w:pPr>
  </w:style>
  <w:style w:type="paragraph" w:customStyle="1" w:styleId="Seznamliteratury">
    <w:name w:val="Seznam literatury"/>
    <w:basedOn w:val="Normln"/>
    <w:rsid w:val="00E63061"/>
    <w:pPr>
      <w:numPr>
        <w:numId w:val="2"/>
      </w:numPr>
    </w:pPr>
  </w:style>
  <w:style w:type="paragraph" w:customStyle="1" w:styleId="Title1">
    <w:name w:val="Title1"/>
    <w:basedOn w:val="Normln"/>
    <w:next w:val="Normln"/>
    <w:rsid w:val="00E63061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E63061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E63061"/>
    <w:rPr>
      <w:lang w:val="cs-CZ"/>
    </w:rPr>
  </w:style>
  <w:style w:type="character" w:customStyle="1" w:styleId="Abstract-textChar">
    <w:name w:val="Abstract - text Char"/>
    <w:basedOn w:val="Standardnpsmoodstavce"/>
    <w:link w:val="Abstract-text"/>
    <w:rsid w:val="00E63061"/>
    <w:rPr>
      <w:rFonts w:ascii="Times New Roman" w:eastAsia="Times New Roman" w:hAnsi="Times New Roman" w:cs="Times New Roman"/>
      <w:sz w:val="24"/>
      <w:szCs w:val="26"/>
      <w:lang w:val="en-US" w:eastAsia="cs-CZ"/>
    </w:rPr>
  </w:style>
  <w:style w:type="character" w:customStyle="1" w:styleId="Abstrakt-textChar">
    <w:name w:val="Abstrakt - text Char"/>
    <w:basedOn w:val="Abstract-textChar"/>
    <w:link w:val="Abstrakt-text"/>
    <w:rsid w:val="00E63061"/>
    <w:rPr>
      <w:rFonts w:ascii="Times New Roman" w:eastAsia="Times New Roman" w:hAnsi="Times New Roman" w:cs="Times New Roman"/>
      <w:sz w:val="24"/>
      <w:szCs w:val="26"/>
      <w:lang w:val="en-US" w:eastAsia="cs-CZ"/>
    </w:rPr>
  </w:style>
  <w:style w:type="paragraph" w:customStyle="1" w:styleId="KeyWords">
    <w:name w:val="KeyWords"/>
    <w:basedOn w:val="Text"/>
    <w:next w:val="Text"/>
    <w:rsid w:val="00E63061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E63061"/>
    <w:pPr>
      <w:spacing w:before="240"/>
    </w:pPr>
    <w:rPr>
      <w:i/>
      <w:szCs w:val="26"/>
    </w:rPr>
  </w:style>
  <w:style w:type="table" w:styleId="Sloupcetabulky1">
    <w:name w:val="Table Columns 1"/>
    <w:basedOn w:val="Normlntabulka"/>
    <w:rsid w:val="00E630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adpispodkapitoly"/>
    <w:next w:val="Nadpis2"/>
    <w:qFormat/>
    <w:rsid w:val="00E63061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6306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06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30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30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30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30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30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3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3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BD74C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74CB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A1F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A1F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A1F0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A1F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F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A1F0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BF3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hy-a.cz/wiki/General_Electri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1A49-4F00-487B-A9DE-15DCF8F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Němec Pavel</cp:lastModifiedBy>
  <cp:revision>2</cp:revision>
  <dcterms:created xsi:type="dcterms:W3CDTF">2013-03-06T07:36:00Z</dcterms:created>
  <dcterms:modified xsi:type="dcterms:W3CDTF">2013-03-06T07:36:00Z</dcterms:modified>
</cp:coreProperties>
</file>