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D8" w:rsidRPr="00A120BA" w:rsidRDefault="00175CD7" w:rsidP="00175CD7">
      <w:pPr>
        <w:pStyle w:val="STINGkonference"/>
      </w:pPr>
      <w:bookmarkStart w:id="0" w:name="_GoBack"/>
      <w:bookmarkEnd w:id="0"/>
      <w:r w:rsidRPr="00A120BA">
        <w:t>XVIII. ročník mezinárodní odborné konference</w:t>
      </w:r>
      <w:r w:rsidRPr="00A120BA">
        <w:br/>
      </w:r>
      <w:r w:rsidR="00E718D8" w:rsidRPr="00A120BA">
        <w:t>“</w:t>
      </w:r>
      <w:r w:rsidRPr="00A120BA">
        <w:t>DANĚ – TEORIE A PRAXE 201</w:t>
      </w:r>
      <w:r w:rsidR="00F966B0">
        <w:t>6</w:t>
      </w:r>
      <w:r w:rsidR="00E718D8" w:rsidRPr="00A120BA">
        <w:t>”</w:t>
      </w:r>
      <w:r w:rsidRPr="00A120BA">
        <w:br/>
      </w:r>
      <w:r w:rsidR="00F966B0">
        <w:t>9</w:t>
      </w:r>
      <w:r w:rsidRPr="00A120BA">
        <w:t>.-</w:t>
      </w:r>
      <w:proofErr w:type="gramStart"/>
      <w:r w:rsidRPr="00A120BA">
        <w:t>1</w:t>
      </w:r>
      <w:r w:rsidR="00F966B0">
        <w:t>0</w:t>
      </w:r>
      <w:r w:rsidRPr="00A120BA">
        <w:t>.9.</w:t>
      </w:r>
      <w:r w:rsidR="00E718D8" w:rsidRPr="00A120BA">
        <w:t>201</w:t>
      </w:r>
      <w:r w:rsidR="00F966B0">
        <w:t>6</w:t>
      </w:r>
      <w:proofErr w:type="gramEnd"/>
      <w:r w:rsidRPr="00A120BA">
        <w:t xml:space="preserve">, </w:t>
      </w:r>
      <w:r w:rsidR="00E718D8" w:rsidRPr="00A120BA">
        <w:t xml:space="preserve">Brno, </w:t>
      </w:r>
      <w:r w:rsidRPr="00A120BA">
        <w:t>Česká republika</w:t>
      </w:r>
    </w:p>
    <w:p w:rsidR="00E718D8" w:rsidRPr="00A120BA" w:rsidRDefault="00B61385" w:rsidP="00E718D8">
      <w:pPr>
        <w:pStyle w:val="Nzev"/>
        <w:rPr>
          <w:rFonts w:eastAsia="MS Mincho"/>
          <w:lang w:val="cs-CZ"/>
        </w:rPr>
      </w:pPr>
      <w:r>
        <w:rPr>
          <w:rFonts w:eastAsia="MS Mincho"/>
          <w:lang w:val="cs-CZ"/>
        </w:rPr>
        <w:t>F</w:t>
      </w:r>
      <w:r w:rsidR="00EA2D33">
        <w:rPr>
          <w:rFonts w:eastAsia="MS Mincho"/>
          <w:lang w:val="cs-CZ"/>
        </w:rPr>
        <w:t>inanční</w:t>
      </w:r>
      <w:r>
        <w:rPr>
          <w:rFonts w:eastAsia="MS Mincho"/>
          <w:lang w:val="cs-CZ"/>
        </w:rPr>
        <w:t xml:space="preserve"> instituce a zdaňování jejich služeb</w:t>
      </w:r>
    </w:p>
    <w:p w:rsidR="00E718D8" w:rsidRPr="00A120BA" w:rsidRDefault="00E96A8F" w:rsidP="00E718D8">
      <w:pPr>
        <w:pStyle w:val="STINGautor"/>
        <w:rPr>
          <w:rFonts w:eastAsia="MS Mincho"/>
          <w:lang w:val="cs-CZ"/>
        </w:rPr>
      </w:pPr>
      <w:r>
        <w:rPr>
          <w:rFonts w:eastAsia="MS Mincho"/>
          <w:lang w:val="cs-CZ"/>
        </w:rPr>
        <w:t xml:space="preserve">Yvona </w:t>
      </w:r>
      <w:proofErr w:type="spellStart"/>
      <w:r>
        <w:rPr>
          <w:rFonts w:eastAsia="MS Mincho"/>
          <w:lang w:val="cs-CZ"/>
        </w:rPr>
        <w:t>Legierská</w:t>
      </w:r>
      <w:proofErr w:type="spellEnd"/>
      <w:r w:rsidR="00E41BD4" w:rsidRPr="00A120BA">
        <w:rPr>
          <w:rStyle w:val="Znakapoznpodarou"/>
          <w:rFonts w:eastAsia="MS Mincho"/>
          <w:lang w:val="cs-CZ"/>
        </w:rPr>
        <w:footnoteReference w:id="1"/>
      </w:r>
    </w:p>
    <w:p w:rsidR="00E718D8" w:rsidRPr="00A120BA" w:rsidRDefault="00E718D8" w:rsidP="00E718D8">
      <w:pPr>
        <w:pStyle w:val="STINGabstraktnadpis"/>
        <w:rPr>
          <w:lang w:val="cs-CZ"/>
        </w:rPr>
      </w:pPr>
      <w:r w:rsidRPr="00A120BA">
        <w:rPr>
          <w:lang w:val="cs-CZ"/>
        </w:rPr>
        <w:t>Abstra</w:t>
      </w:r>
      <w:r w:rsidR="00625363" w:rsidRPr="00A120BA">
        <w:rPr>
          <w:lang w:val="cs-CZ"/>
        </w:rPr>
        <w:t>k</w:t>
      </w:r>
      <w:r w:rsidRPr="00A120BA">
        <w:rPr>
          <w:lang w:val="cs-CZ"/>
        </w:rPr>
        <w:t>t</w:t>
      </w:r>
    </w:p>
    <w:p w:rsidR="006F16E1" w:rsidRPr="00F47895" w:rsidRDefault="00F47895" w:rsidP="00F47895">
      <w:pPr>
        <w:rPr>
          <w:rFonts w:eastAsia="MS Mincho"/>
          <w:lang w:val="cs-CZ"/>
        </w:rPr>
      </w:pPr>
      <w:r w:rsidRPr="00F47895">
        <w:rPr>
          <w:rFonts w:eastAsia="MS Mincho"/>
          <w:lang w:val="cs-CZ"/>
        </w:rPr>
        <w:t xml:space="preserve">Příspěvek se zabývá </w:t>
      </w:r>
      <w:r w:rsidR="006F16E1">
        <w:rPr>
          <w:rFonts w:eastAsia="MS Mincho"/>
          <w:lang w:val="cs-CZ"/>
        </w:rPr>
        <w:t xml:space="preserve">problematikou zdaňování </w:t>
      </w:r>
      <w:r w:rsidR="00E855C0">
        <w:rPr>
          <w:rFonts w:eastAsia="MS Mincho"/>
          <w:lang w:val="cs-CZ"/>
        </w:rPr>
        <w:t xml:space="preserve">služeb </w:t>
      </w:r>
      <w:r w:rsidR="00804457">
        <w:rPr>
          <w:rFonts w:eastAsia="MS Mincho"/>
          <w:lang w:val="cs-CZ"/>
        </w:rPr>
        <w:t xml:space="preserve">DPH </w:t>
      </w:r>
      <w:r w:rsidR="00E855C0">
        <w:rPr>
          <w:rFonts w:eastAsia="MS Mincho"/>
          <w:lang w:val="cs-CZ"/>
        </w:rPr>
        <w:t xml:space="preserve">poskytovaných </w:t>
      </w:r>
      <w:r w:rsidR="006F16E1">
        <w:rPr>
          <w:rFonts w:eastAsia="MS Mincho"/>
          <w:lang w:val="cs-CZ"/>
        </w:rPr>
        <w:t>finanční</w:t>
      </w:r>
      <w:r w:rsidR="00E855C0">
        <w:rPr>
          <w:rFonts w:eastAsia="MS Mincho"/>
          <w:lang w:val="cs-CZ"/>
        </w:rPr>
        <w:t>mi</w:t>
      </w:r>
      <w:r w:rsidR="006F16E1">
        <w:rPr>
          <w:rFonts w:eastAsia="MS Mincho"/>
          <w:lang w:val="cs-CZ"/>
        </w:rPr>
        <w:t xml:space="preserve"> instituc</w:t>
      </w:r>
      <w:r w:rsidR="00E855C0">
        <w:rPr>
          <w:rFonts w:eastAsia="MS Mincho"/>
          <w:lang w:val="cs-CZ"/>
        </w:rPr>
        <w:t xml:space="preserve">emi. Tyto subjekty </w:t>
      </w:r>
      <w:r w:rsidR="000F463E">
        <w:rPr>
          <w:rFonts w:eastAsia="MS Mincho"/>
          <w:lang w:val="cs-CZ"/>
        </w:rPr>
        <w:t>významně ovlivňují finanční a e</w:t>
      </w:r>
      <w:r w:rsidR="00B827B4">
        <w:rPr>
          <w:rFonts w:eastAsia="MS Mincho"/>
          <w:lang w:val="cs-CZ"/>
        </w:rPr>
        <w:t>konomickou stabilitu každé země</w:t>
      </w:r>
      <w:r w:rsidR="00804457">
        <w:rPr>
          <w:rFonts w:eastAsia="MS Mincho"/>
          <w:lang w:val="cs-CZ"/>
        </w:rPr>
        <w:t>. Finanční služby j</w:t>
      </w:r>
      <w:r w:rsidR="006E775F" w:rsidRPr="006E775F">
        <w:rPr>
          <w:rFonts w:eastAsia="MS Mincho"/>
          <w:lang w:val="cs-CZ"/>
        </w:rPr>
        <w:t>sou zdaňovány, osvobozeny s plným či částečným nárokem na odpočet daně, osvobozeny bez nároku na odpočet daně.</w:t>
      </w:r>
      <w:r w:rsidR="006E775F">
        <w:rPr>
          <w:rFonts w:eastAsia="MS Mincho"/>
          <w:lang w:val="cs-CZ"/>
        </w:rPr>
        <w:t xml:space="preserve"> </w:t>
      </w:r>
      <w:r w:rsidR="003659FA">
        <w:rPr>
          <w:rFonts w:eastAsia="MS Mincho"/>
          <w:lang w:val="cs-CZ"/>
        </w:rPr>
        <w:t>Cílem příspěvku je n</w:t>
      </w:r>
      <w:r w:rsidR="003659FA" w:rsidRPr="003659FA">
        <w:rPr>
          <w:rFonts w:eastAsia="MS Mincho"/>
          <w:lang w:val="cs-CZ"/>
        </w:rPr>
        <w:t xml:space="preserve">a základě mezinárodní komparace </w:t>
      </w:r>
      <w:r w:rsidR="00B827B4">
        <w:rPr>
          <w:rFonts w:eastAsia="MS Mincho"/>
          <w:lang w:val="cs-CZ"/>
        </w:rPr>
        <w:t>navrhnout</w:t>
      </w:r>
      <w:r w:rsidR="003659FA" w:rsidRPr="003659FA">
        <w:rPr>
          <w:rFonts w:eastAsia="MS Mincho"/>
          <w:lang w:val="cs-CZ"/>
        </w:rPr>
        <w:t xml:space="preserve"> takové úpravy </w:t>
      </w:r>
      <w:r w:rsidR="00B827B4">
        <w:rPr>
          <w:rFonts w:eastAsia="MS Mincho"/>
          <w:lang w:val="cs-CZ"/>
        </w:rPr>
        <w:t xml:space="preserve">stávajícího </w:t>
      </w:r>
      <w:r w:rsidR="003659FA" w:rsidRPr="003659FA">
        <w:rPr>
          <w:rFonts w:eastAsia="MS Mincho"/>
          <w:lang w:val="cs-CZ"/>
        </w:rPr>
        <w:t>zdanění finančních služeb na úrovni E</w:t>
      </w:r>
      <w:r w:rsidR="00B827B4">
        <w:rPr>
          <w:rFonts w:eastAsia="MS Mincho"/>
          <w:lang w:val="cs-CZ"/>
        </w:rPr>
        <w:t>U</w:t>
      </w:r>
      <w:r w:rsidR="003659FA" w:rsidRPr="003659FA">
        <w:rPr>
          <w:rFonts w:eastAsia="MS Mincho"/>
          <w:lang w:val="cs-CZ"/>
        </w:rPr>
        <w:t xml:space="preserve"> a Č</w:t>
      </w:r>
      <w:r w:rsidR="002D187F">
        <w:rPr>
          <w:rFonts w:eastAsia="MS Mincho"/>
          <w:lang w:val="cs-CZ"/>
        </w:rPr>
        <w:t>R</w:t>
      </w:r>
      <w:r w:rsidR="003659FA" w:rsidRPr="003659FA">
        <w:rPr>
          <w:rFonts w:eastAsia="MS Mincho"/>
          <w:lang w:val="cs-CZ"/>
        </w:rPr>
        <w:t xml:space="preserve">, které by vedly ke snížení distorzí a zvýšení neutrality DPH. </w:t>
      </w:r>
      <w:r w:rsidR="002D187F">
        <w:rPr>
          <w:rFonts w:eastAsia="MS Mincho"/>
          <w:lang w:val="cs-CZ"/>
        </w:rPr>
        <w:t>Na</w:t>
      </w:r>
      <w:r w:rsidR="00804457">
        <w:rPr>
          <w:rFonts w:eastAsia="MS Mincho"/>
          <w:lang w:val="cs-CZ"/>
        </w:rPr>
        <w:t> </w:t>
      </w:r>
      <w:r w:rsidR="002D187F">
        <w:rPr>
          <w:rFonts w:eastAsia="MS Mincho"/>
          <w:lang w:val="cs-CZ"/>
        </w:rPr>
        <w:t xml:space="preserve">úrovni </w:t>
      </w:r>
      <w:r w:rsidR="002D187F" w:rsidRPr="002D187F">
        <w:rPr>
          <w:rFonts w:eastAsia="MS Mincho"/>
          <w:lang w:val="cs-CZ"/>
        </w:rPr>
        <w:t>EU j</w:t>
      </w:r>
      <w:r w:rsidR="006F16E1" w:rsidRPr="002D187F">
        <w:rPr>
          <w:rFonts w:eastAsia="MS Mincho"/>
          <w:lang w:val="cs-CZ"/>
        </w:rPr>
        <w:t>e navrženo</w:t>
      </w:r>
      <w:r w:rsidR="002D187F" w:rsidRPr="002D187F">
        <w:rPr>
          <w:rFonts w:eastAsia="MS Mincho"/>
          <w:lang w:val="cs-CZ"/>
        </w:rPr>
        <w:t xml:space="preserve"> rozšíři</w:t>
      </w:r>
      <w:r w:rsidR="004270A4">
        <w:rPr>
          <w:rFonts w:eastAsia="MS Mincho"/>
          <w:lang w:val="cs-CZ"/>
        </w:rPr>
        <w:t>t</w:t>
      </w:r>
      <w:r w:rsidR="002D187F" w:rsidRPr="002D187F">
        <w:rPr>
          <w:rFonts w:eastAsia="MS Mincho"/>
          <w:lang w:val="cs-CZ"/>
        </w:rPr>
        <w:t xml:space="preserve"> rozsah finančních služeb zdaňovaných DPH o ty, které jsou poskytovány za</w:t>
      </w:r>
      <w:r w:rsidR="00804457">
        <w:rPr>
          <w:rFonts w:eastAsia="MS Mincho"/>
          <w:lang w:val="cs-CZ"/>
        </w:rPr>
        <w:t> </w:t>
      </w:r>
      <w:r w:rsidR="002D187F" w:rsidRPr="002D187F">
        <w:rPr>
          <w:rFonts w:eastAsia="MS Mincho"/>
          <w:lang w:val="cs-CZ"/>
        </w:rPr>
        <w:t>úplat</w:t>
      </w:r>
      <w:r w:rsidR="00804457">
        <w:rPr>
          <w:rFonts w:eastAsia="MS Mincho"/>
          <w:lang w:val="cs-CZ"/>
        </w:rPr>
        <w:t xml:space="preserve">u. </w:t>
      </w:r>
      <w:r w:rsidR="003B2091" w:rsidRPr="002D187F">
        <w:rPr>
          <w:rFonts w:eastAsia="MS Mincho"/>
          <w:lang w:val="cs-CZ"/>
        </w:rPr>
        <w:t xml:space="preserve">V ČR je doporučeno </w:t>
      </w:r>
      <w:r w:rsidR="00923EE9">
        <w:rPr>
          <w:rFonts w:eastAsia="MS Mincho"/>
          <w:lang w:val="cs-CZ"/>
        </w:rPr>
        <w:t>umožnit</w:t>
      </w:r>
      <w:r w:rsidR="003B2091">
        <w:rPr>
          <w:rFonts w:eastAsia="MS Mincho"/>
          <w:lang w:val="cs-CZ"/>
        </w:rPr>
        <w:t xml:space="preserve"> tyto služby </w:t>
      </w:r>
      <w:r w:rsidR="00923EE9">
        <w:rPr>
          <w:rFonts w:eastAsia="MS Mincho"/>
          <w:lang w:val="cs-CZ"/>
        </w:rPr>
        <w:t>finanční instituci</w:t>
      </w:r>
      <w:r w:rsidR="00804457">
        <w:rPr>
          <w:rFonts w:eastAsia="MS Mincho"/>
          <w:lang w:val="cs-CZ"/>
        </w:rPr>
        <w:t xml:space="preserve"> buď </w:t>
      </w:r>
      <w:r w:rsidR="003B2091">
        <w:rPr>
          <w:rFonts w:eastAsia="MS Mincho"/>
          <w:lang w:val="cs-CZ"/>
        </w:rPr>
        <w:t>zdanit či osvobodit</w:t>
      </w:r>
      <w:r w:rsidR="00804457" w:rsidRPr="00804457">
        <w:rPr>
          <w:rFonts w:eastAsia="MS Mincho"/>
          <w:lang w:val="cs-CZ"/>
        </w:rPr>
        <w:t xml:space="preserve"> a dále </w:t>
      </w:r>
      <w:r w:rsidR="00804457">
        <w:rPr>
          <w:rFonts w:eastAsia="MS Mincho"/>
          <w:lang w:val="cs-CZ"/>
        </w:rPr>
        <w:t xml:space="preserve">zavést </w:t>
      </w:r>
      <w:r w:rsidR="00804457" w:rsidRPr="00804457">
        <w:rPr>
          <w:rFonts w:eastAsia="MS Mincho"/>
          <w:lang w:val="cs-CZ"/>
        </w:rPr>
        <w:t>daň z finančních aktivit, příp. daň z finančních transakcí.</w:t>
      </w:r>
    </w:p>
    <w:p w:rsidR="00D1420B" w:rsidRPr="00F75741" w:rsidRDefault="00D1420B" w:rsidP="00D1420B">
      <w:pPr>
        <w:pStyle w:val="STINGklicovaslova"/>
        <w:rPr>
          <w:lang w:val="cs-CZ"/>
        </w:rPr>
      </w:pPr>
      <w:r w:rsidRPr="00F75741">
        <w:rPr>
          <w:lang w:val="cs-CZ"/>
        </w:rPr>
        <w:t>Klíčová s</w:t>
      </w:r>
      <w:r w:rsidR="00F47895" w:rsidRPr="00F75741">
        <w:rPr>
          <w:lang w:val="cs-CZ"/>
        </w:rPr>
        <w:t xml:space="preserve">lova: daň z přidané hodnoty, </w:t>
      </w:r>
      <w:r w:rsidR="003B2DA4" w:rsidRPr="00F75741">
        <w:rPr>
          <w:lang w:val="cs-CZ"/>
        </w:rPr>
        <w:t xml:space="preserve">daň ze zboží a služeb, </w:t>
      </w:r>
      <w:r w:rsidR="00F47895" w:rsidRPr="00F75741">
        <w:rPr>
          <w:lang w:val="cs-CZ"/>
        </w:rPr>
        <w:t xml:space="preserve">finanční služby, </w:t>
      </w:r>
      <w:r w:rsidR="003B2DA4" w:rsidRPr="00F75741">
        <w:rPr>
          <w:lang w:val="cs-CZ"/>
        </w:rPr>
        <w:t>d</w:t>
      </w:r>
      <w:r w:rsidR="00F47895" w:rsidRPr="00F75741">
        <w:rPr>
          <w:lang w:val="cs-CZ"/>
        </w:rPr>
        <w:t xml:space="preserve">aň z finančních aktivit, </w:t>
      </w:r>
      <w:r w:rsidR="003B2DA4" w:rsidRPr="00F75741">
        <w:rPr>
          <w:lang w:val="cs-CZ"/>
        </w:rPr>
        <w:t>d</w:t>
      </w:r>
      <w:r w:rsidR="00F47895" w:rsidRPr="00F75741">
        <w:rPr>
          <w:lang w:val="cs-CZ"/>
        </w:rPr>
        <w:t>aň z finančních transakcí</w:t>
      </w:r>
      <w:r w:rsidR="003B2DA4" w:rsidRPr="00F75741">
        <w:rPr>
          <w:lang w:val="cs-CZ"/>
        </w:rPr>
        <w:t>.</w:t>
      </w:r>
    </w:p>
    <w:p w:rsidR="00D1420B" w:rsidRPr="00F75741" w:rsidRDefault="00D1420B" w:rsidP="00D1420B">
      <w:pPr>
        <w:pStyle w:val="STINGabstraktnadpis"/>
        <w:rPr>
          <w:lang w:val="en-GB"/>
        </w:rPr>
      </w:pPr>
      <w:r w:rsidRPr="00F75741">
        <w:rPr>
          <w:lang w:val="en-GB"/>
        </w:rPr>
        <w:t>Abstract</w:t>
      </w:r>
    </w:p>
    <w:p w:rsidR="00F75741" w:rsidRPr="00F75741" w:rsidRDefault="00F75741" w:rsidP="00F75741">
      <w:pPr>
        <w:pStyle w:val="STINGklicovaslova"/>
        <w:rPr>
          <w:lang w:val="en-GB"/>
        </w:rPr>
      </w:pPr>
      <w:r w:rsidRPr="00F75741">
        <w:rPr>
          <w:lang w:val="en-GB"/>
        </w:rPr>
        <w:t>The paper deals with the taxation of VAT services provided by financial institutions. These entities significantly influence financial and economic stability of each country. Financial services are taxed, exempt full or partial deductibility of VAT exempt without entitlement to deduct. The aim of this paper is based on international comparisons suggest a modification of the existing taxation of financial services at EU level and the Czech Republic, which would reduce distortion and increase neutrality of VAT. At EU level, it is proposed to extend the range of financial services taxed by VAT on those that are provided for a fee. In the Czech Republic it is recommended to allow these services to a financial institution either to tax or exempt and introduce the Financial Activity Tax or the Financial Transaction Tax.</w:t>
      </w:r>
    </w:p>
    <w:p w:rsidR="00E718D8" w:rsidRDefault="003B2DA4" w:rsidP="00D1420B">
      <w:pPr>
        <w:pStyle w:val="STINGklicovaslova"/>
      </w:pPr>
      <w:r>
        <w:t xml:space="preserve">Keywords: Value Added Tax, </w:t>
      </w:r>
      <w:r w:rsidRPr="003B2DA4">
        <w:t>Goods and Services Tax</w:t>
      </w:r>
      <w:r>
        <w:t>, Financial services</w:t>
      </w:r>
      <w:r w:rsidRPr="003B2DA4">
        <w:t>, Financial Activity Tax, Financial Transaction Tax</w:t>
      </w:r>
      <w:r>
        <w:t>.</w:t>
      </w:r>
    </w:p>
    <w:p w:rsidR="00D1420B" w:rsidRPr="00D1420B" w:rsidRDefault="00D1420B" w:rsidP="00D1420B">
      <w:pPr>
        <w:pStyle w:val="STINGklicovaslova"/>
      </w:pPr>
      <w:r>
        <w:t xml:space="preserve">JEL </w:t>
      </w:r>
      <w:r w:rsidRPr="00F75741">
        <w:rPr>
          <w:lang w:val="cs-CZ"/>
        </w:rPr>
        <w:t>klasifikace:</w:t>
      </w:r>
      <w:r>
        <w:t xml:space="preserve"> </w:t>
      </w:r>
      <w:r w:rsidR="003B2DA4" w:rsidRPr="003B2DA4">
        <w:t>G21, E62, H25</w:t>
      </w:r>
      <w:r w:rsidR="00D51EBB">
        <w:t>.</w:t>
      </w:r>
    </w:p>
    <w:p w:rsidR="00E718D8" w:rsidRDefault="00D905E2" w:rsidP="00D905E2">
      <w:pPr>
        <w:pStyle w:val="Nadpis1"/>
        <w:rPr>
          <w:rFonts w:eastAsia="MS Mincho"/>
          <w:lang w:val="cs-CZ"/>
        </w:rPr>
      </w:pPr>
      <w:r w:rsidRPr="00A120BA">
        <w:rPr>
          <w:rFonts w:eastAsia="MS Mincho"/>
          <w:lang w:val="cs-CZ"/>
        </w:rPr>
        <w:lastRenderedPageBreak/>
        <w:t>Úvod</w:t>
      </w:r>
    </w:p>
    <w:p w:rsidR="007B701D" w:rsidRDefault="006C0C73" w:rsidP="00923EE9">
      <w:pPr>
        <w:rPr>
          <w:rFonts w:eastAsia="MS Mincho"/>
          <w:lang w:val="cs-CZ"/>
        </w:rPr>
      </w:pPr>
      <w:r>
        <w:rPr>
          <w:rFonts w:eastAsia="MS Mincho"/>
          <w:lang w:val="cs-CZ"/>
        </w:rPr>
        <w:t>Daň z přidané hod</w:t>
      </w:r>
      <w:r w:rsidR="00D22604">
        <w:rPr>
          <w:rFonts w:eastAsia="MS Mincho"/>
          <w:lang w:val="cs-CZ"/>
        </w:rPr>
        <w:t xml:space="preserve">noty (dále jen DPH) patří k univerzálním daním ze spotřeby, kterou využívá většina zemí světa. </w:t>
      </w:r>
      <w:r w:rsidR="000C2DDC">
        <w:rPr>
          <w:rFonts w:eastAsia="MS Mincho"/>
          <w:lang w:val="cs-CZ"/>
        </w:rPr>
        <w:t>V zemích Evropské unie (dále jen EU) se přitom jedná o vysoce harmonizovanou daň</w:t>
      </w:r>
      <w:r w:rsidR="007B701D">
        <w:rPr>
          <w:rFonts w:eastAsia="MS Mincho"/>
          <w:lang w:val="cs-CZ"/>
        </w:rPr>
        <w:t>.</w:t>
      </w:r>
    </w:p>
    <w:p w:rsidR="000920CA" w:rsidRDefault="00D22604" w:rsidP="00923EE9">
      <w:pPr>
        <w:rPr>
          <w:rFonts w:eastAsia="MS Mincho"/>
          <w:lang w:val="cs-CZ"/>
        </w:rPr>
      </w:pPr>
      <w:r>
        <w:rPr>
          <w:rFonts w:eastAsia="MS Mincho"/>
          <w:lang w:val="cs-CZ"/>
        </w:rPr>
        <w:t xml:space="preserve">Obecně platí, že většina plnění je zdaňována na výstupu příslušnou sazbou </w:t>
      </w:r>
      <w:r w:rsidR="007B701D">
        <w:rPr>
          <w:rFonts w:eastAsia="MS Mincho"/>
          <w:lang w:val="cs-CZ"/>
        </w:rPr>
        <w:t>DPH</w:t>
      </w:r>
      <w:r>
        <w:rPr>
          <w:rFonts w:eastAsia="MS Mincho"/>
          <w:lang w:val="cs-CZ"/>
        </w:rPr>
        <w:t>, avšak existují i výjimky</w:t>
      </w:r>
      <w:r w:rsidR="00415FCE" w:rsidRPr="00415FCE">
        <w:rPr>
          <w:rFonts w:eastAsia="MS Mincho"/>
          <w:lang w:val="cs-CZ"/>
        </w:rPr>
        <w:t xml:space="preserve"> ze základního principu </w:t>
      </w:r>
      <w:r w:rsidR="007B701D">
        <w:rPr>
          <w:rFonts w:eastAsia="MS Mincho"/>
          <w:lang w:val="cs-CZ"/>
        </w:rPr>
        <w:t xml:space="preserve">jejího </w:t>
      </w:r>
      <w:r w:rsidR="00415FCE" w:rsidRPr="00415FCE">
        <w:rPr>
          <w:rFonts w:eastAsia="MS Mincho"/>
          <w:lang w:val="cs-CZ"/>
        </w:rPr>
        <w:t>uplatňování</w:t>
      </w:r>
      <w:r>
        <w:rPr>
          <w:rFonts w:eastAsia="MS Mincho"/>
          <w:lang w:val="cs-CZ"/>
        </w:rPr>
        <w:t>. N</w:t>
      </w:r>
      <w:r w:rsidR="00415FCE" w:rsidRPr="00415FCE">
        <w:rPr>
          <w:rFonts w:eastAsia="MS Mincho"/>
          <w:lang w:val="cs-CZ"/>
        </w:rPr>
        <w:t xml:space="preserve">ěkterá </w:t>
      </w:r>
      <w:r>
        <w:rPr>
          <w:rFonts w:eastAsia="MS Mincho"/>
          <w:lang w:val="cs-CZ"/>
        </w:rPr>
        <w:t xml:space="preserve">tuzemská </w:t>
      </w:r>
      <w:r w:rsidR="00415FCE" w:rsidRPr="00415FCE">
        <w:rPr>
          <w:rFonts w:eastAsia="MS Mincho"/>
          <w:lang w:val="cs-CZ"/>
        </w:rPr>
        <w:t>plnění</w:t>
      </w:r>
      <w:r w:rsidR="00541279">
        <w:rPr>
          <w:rFonts w:eastAsia="MS Mincho"/>
          <w:lang w:val="cs-CZ"/>
        </w:rPr>
        <w:t>, např. vybrané finanční služby,</w:t>
      </w:r>
      <w:r w:rsidR="00415FCE" w:rsidRPr="00415FCE">
        <w:rPr>
          <w:rFonts w:eastAsia="MS Mincho"/>
          <w:lang w:val="cs-CZ"/>
        </w:rPr>
        <w:t xml:space="preserve"> jsou </w:t>
      </w:r>
      <w:r w:rsidR="007B701D">
        <w:rPr>
          <w:rFonts w:eastAsia="MS Mincho"/>
          <w:lang w:val="cs-CZ"/>
        </w:rPr>
        <w:t xml:space="preserve">totiž </w:t>
      </w:r>
      <w:r w:rsidR="00415FCE" w:rsidRPr="00415FCE">
        <w:rPr>
          <w:rFonts w:eastAsia="MS Mincho"/>
          <w:lang w:val="cs-CZ"/>
        </w:rPr>
        <w:t>osvobozena od daně</w:t>
      </w:r>
      <w:r w:rsidR="007B701D">
        <w:rPr>
          <w:rFonts w:eastAsia="MS Mincho"/>
          <w:lang w:val="cs-CZ"/>
        </w:rPr>
        <w:t xml:space="preserve"> a p</w:t>
      </w:r>
      <w:r w:rsidR="00415FCE" w:rsidRPr="00415FCE">
        <w:rPr>
          <w:rFonts w:eastAsia="MS Mincho"/>
          <w:lang w:val="cs-CZ"/>
        </w:rPr>
        <w:t xml:space="preserve">látce si nemůže uplatnit </w:t>
      </w:r>
      <w:r>
        <w:rPr>
          <w:rFonts w:eastAsia="MS Mincho"/>
          <w:lang w:val="cs-CZ"/>
        </w:rPr>
        <w:t xml:space="preserve">část či celý </w:t>
      </w:r>
      <w:r w:rsidR="00415FCE" w:rsidRPr="00415FCE">
        <w:rPr>
          <w:rFonts w:eastAsia="MS Mincho"/>
          <w:lang w:val="cs-CZ"/>
        </w:rPr>
        <w:t xml:space="preserve">odpočet daně na vstupu. </w:t>
      </w:r>
      <w:r w:rsidR="000920CA" w:rsidRPr="000920CA">
        <w:rPr>
          <w:rFonts w:eastAsia="MS Mincho"/>
          <w:lang w:val="cs-CZ"/>
        </w:rPr>
        <w:t xml:space="preserve">Zbytková daň </w:t>
      </w:r>
      <w:r w:rsidR="00183649">
        <w:rPr>
          <w:rFonts w:eastAsia="MS Mincho"/>
          <w:lang w:val="cs-CZ"/>
        </w:rPr>
        <w:t xml:space="preserve">tak </w:t>
      </w:r>
      <w:r w:rsidR="000920CA" w:rsidRPr="000920CA">
        <w:rPr>
          <w:rFonts w:eastAsia="MS Mincho"/>
          <w:lang w:val="cs-CZ"/>
        </w:rPr>
        <w:t xml:space="preserve">zvyšuje náklady a zůstává v ceně plnění skryta i při </w:t>
      </w:r>
      <w:r>
        <w:rPr>
          <w:rFonts w:eastAsia="MS Mincho"/>
          <w:lang w:val="cs-CZ"/>
        </w:rPr>
        <w:t>následných</w:t>
      </w:r>
      <w:r w:rsidR="000920CA" w:rsidRPr="000920CA">
        <w:rPr>
          <w:rFonts w:eastAsia="MS Mincho"/>
          <w:lang w:val="cs-CZ"/>
        </w:rPr>
        <w:t xml:space="preserve"> transakcích. </w:t>
      </w:r>
      <w:r w:rsidR="000746F5" w:rsidRPr="00415FCE">
        <w:rPr>
          <w:rFonts w:eastAsia="MS Mincho"/>
          <w:lang w:val="cs-CZ"/>
        </w:rPr>
        <w:t>Nemožnost uplatnění odpočtu daně na vstupu finančními institucemi se projevuje ve</w:t>
      </w:r>
      <w:r w:rsidR="000746F5">
        <w:rPr>
          <w:rFonts w:eastAsia="MS Mincho"/>
          <w:lang w:val="cs-CZ"/>
        </w:rPr>
        <w:t> </w:t>
      </w:r>
      <w:r w:rsidR="000746F5" w:rsidRPr="00415FCE">
        <w:rPr>
          <w:rFonts w:eastAsia="MS Mincho"/>
          <w:lang w:val="cs-CZ"/>
        </w:rPr>
        <w:t xml:space="preserve">vyšších nákladech, které </w:t>
      </w:r>
      <w:r w:rsidR="000746F5">
        <w:rPr>
          <w:rFonts w:eastAsia="MS Mincho"/>
          <w:lang w:val="cs-CZ"/>
        </w:rPr>
        <w:t xml:space="preserve">se </w:t>
      </w:r>
      <w:r w:rsidR="000746F5" w:rsidRPr="00415FCE">
        <w:rPr>
          <w:rFonts w:eastAsia="MS Mincho"/>
          <w:lang w:val="cs-CZ"/>
        </w:rPr>
        <w:t xml:space="preserve">následně promítají do ceny poskytovaných služeb. </w:t>
      </w:r>
      <w:r w:rsidR="000920CA">
        <w:rPr>
          <w:rFonts w:eastAsia="MS Mincho"/>
          <w:lang w:val="cs-CZ"/>
        </w:rPr>
        <w:t xml:space="preserve">To s sebou nese distorze a snížení neutrality daně. </w:t>
      </w:r>
      <w:r w:rsidR="00304433" w:rsidRPr="00304433">
        <w:rPr>
          <w:rFonts w:eastAsia="MS Mincho"/>
          <w:lang w:val="cs-CZ"/>
        </w:rPr>
        <w:t xml:space="preserve">Jedním z důvodů </w:t>
      </w:r>
      <w:r w:rsidR="00304433">
        <w:rPr>
          <w:rFonts w:eastAsia="MS Mincho"/>
          <w:lang w:val="cs-CZ"/>
        </w:rPr>
        <w:t>tohoto přístupu</w:t>
      </w:r>
      <w:r w:rsidR="00304433" w:rsidRPr="00304433">
        <w:rPr>
          <w:rFonts w:eastAsia="MS Mincho"/>
          <w:lang w:val="cs-CZ"/>
        </w:rPr>
        <w:t xml:space="preserve"> je údajně obtížné stanovení přidané hodnoty</w:t>
      </w:r>
      <w:r w:rsidR="00541279">
        <w:rPr>
          <w:rFonts w:eastAsia="MS Mincho"/>
          <w:lang w:val="cs-CZ"/>
        </w:rPr>
        <w:t xml:space="preserve"> u některých finančních služeb</w:t>
      </w:r>
      <w:r w:rsidR="00304433" w:rsidRPr="00304433">
        <w:rPr>
          <w:rFonts w:eastAsia="MS Mincho"/>
          <w:lang w:val="cs-CZ"/>
        </w:rPr>
        <w:t>, tedy základu daně, a tím vyčíslení samotné DPH.</w:t>
      </w:r>
      <w:r w:rsidR="000746F5" w:rsidRPr="000746F5">
        <w:rPr>
          <w:rFonts w:eastAsia="MS Mincho"/>
          <w:lang w:val="cs-CZ"/>
        </w:rPr>
        <w:t xml:space="preserve"> </w:t>
      </w:r>
    </w:p>
    <w:p w:rsidR="00AB7EB0" w:rsidRPr="00B63F7D" w:rsidRDefault="000920CA" w:rsidP="00923EE9">
      <w:pPr>
        <w:rPr>
          <w:rFonts w:eastAsia="MS Mincho"/>
          <w:lang w:val="cs-CZ"/>
        </w:rPr>
      </w:pPr>
      <w:r>
        <w:rPr>
          <w:rFonts w:eastAsia="MS Mincho"/>
          <w:lang w:val="cs-CZ"/>
        </w:rPr>
        <w:t xml:space="preserve">K takovým plněním patří </w:t>
      </w:r>
      <w:r w:rsidR="004D4C89">
        <w:rPr>
          <w:rFonts w:eastAsia="MS Mincho"/>
          <w:lang w:val="cs-CZ"/>
        </w:rPr>
        <w:t xml:space="preserve">vybrané </w:t>
      </w:r>
      <w:r>
        <w:rPr>
          <w:rFonts w:eastAsia="MS Mincho"/>
          <w:lang w:val="cs-CZ"/>
        </w:rPr>
        <w:t>služby</w:t>
      </w:r>
      <w:r w:rsidR="00923EE9">
        <w:rPr>
          <w:rFonts w:eastAsia="MS Mincho"/>
          <w:lang w:val="cs-CZ"/>
        </w:rPr>
        <w:t xml:space="preserve"> poskytovan</w:t>
      </w:r>
      <w:r>
        <w:rPr>
          <w:rFonts w:eastAsia="MS Mincho"/>
          <w:lang w:val="cs-CZ"/>
        </w:rPr>
        <w:t>é</w:t>
      </w:r>
      <w:r w:rsidR="00923EE9">
        <w:rPr>
          <w:rFonts w:eastAsia="MS Mincho"/>
          <w:lang w:val="cs-CZ"/>
        </w:rPr>
        <w:t xml:space="preserve"> </w:t>
      </w:r>
      <w:r w:rsidR="00923EE9" w:rsidRPr="00B63F7D">
        <w:rPr>
          <w:rFonts w:eastAsia="MS Mincho"/>
          <w:lang w:val="cs-CZ"/>
        </w:rPr>
        <w:t xml:space="preserve">finančními institucemi. Tyto subjekty </w:t>
      </w:r>
      <w:r w:rsidR="00AB7EB0" w:rsidRPr="00B63F7D">
        <w:rPr>
          <w:rFonts w:eastAsia="MS Mincho"/>
          <w:lang w:val="cs-CZ"/>
        </w:rPr>
        <w:t>patří k nejziskovějším subjektům s </w:t>
      </w:r>
      <w:r w:rsidR="00260E74" w:rsidRPr="00B63F7D">
        <w:rPr>
          <w:rFonts w:eastAsia="MS Mincho"/>
          <w:lang w:val="cs-CZ"/>
        </w:rPr>
        <w:t>nejvyšší</w:t>
      </w:r>
      <w:r w:rsidR="00AB7EB0" w:rsidRPr="00B63F7D">
        <w:rPr>
          <w:rFonts w:eastAsia="MS Mincho"/>
          <w:lang w:val="cs-CZ"/>
        </w:rPr>
        <w:t xml:space="preserve"> přidanou hodnotou </w:t>
      </w:r>
      <w:r w:rsidR="00260E74" w:rsidRPr="00B63F7D">
        <w:rPr>
          <w:rFonts w:eastAsia="MS Mincho"/>
          <w:lang w:val="cs-CZ"/>
        </w:rPr>
        <w:t xml:space="preserve">ze všech odvětví (OECD, 2015) </w:t>
      </w:r>
      <w:r w:rsidR="00AB7EB0" w:rsidRPr="00B63F7D">
        <w:rPr>
          <w:rFonts w:eastAsia="MS Mincho"/>
          <w:lang w:val="cs-CZ"/>
        </w:rPr>
        <w:t xml:space="preserve">a </w:t>
      </w:r>
      <w:r w:rsidR="00923EE9" w:rsidRPr="00B63F7D">
        <w:rPr>
          <w:rFonts w:eastAsia="MS Mincho"/>
          <w:lang w:val="cs-CZ"/>
        </w:rPr>
        <w:t xml:space="preserve">významně ovlivňují finanční a ekonomickou stabilitu každé země. </w:t>
      </w:r>
      <w:r w:rsidRPr="00B63F7D">
        <w:rPr>
          <w:rFonts w:eastAsia="MS Mincho"/>
          <w:lang w:val="cs-CZ"/>
        </w:rPr>
        <w:t xml:space="preserve">Mnohdy jsou také </w:t>
      </w:r>
      <w:r w:rsidR="007B701D" w:rsidRPr="00B63F7D">
        <w:rPr>
          <w:rFonts w:eastAsia="MS Mincho"/>
          <w:lang w:val="cs-CZ"/>
        </w:rPr>
        <w:t>„</w:t>
      </w:r>
      <w:r w:rsidRPr="00B63F7D">
        <w:rPr>
          <w:rFonts w:eastAsia="MS Mincho"/>
          <w:lang w:val="cs-CZ"/>
        </w:rPr>
        <w:t>dotovány</w:t>
      </w:r>
      <w:r w:rsidR="007B701D" w:rsidRPr="00B63F7D">
        <w:rPr>
          <w:rFonts w:eastAsia="MS Mincho"/>
          <w:lang w:val="cs-CZ"/>
        </w:rPr>
        <w:t>“</w:t>
      </w:r>
      <w:r w:rsidRPr="00B63F7D">
        <w:rPr>
          <w:rFonts w:eastAsia="MS Mincho"/>
          <w:lang w:val="cs-CZ"/>
        </w:rPr>
        <w:t xml:space="preserve"> z veřejných rozpočtů</w:t>
      </w:r>
      <w:r w:rsidR="00AB7EB0" w:rsidRPr="00B63F7D">
        <w:rPr>
          <w:rFonts w:eastAsia="MS Mincho"/>
          <w:lang w:val="cs-CZ"/>
        </w:rPr>
        <w:t xml:space="preserve"> zejména v době finančních krizí</w:t>
      </w:r>
      <w:r w:rsidR="007B701D" w:rsidRPr="00B63F7D">
        <w:rPr>
          <w:rFonts w:eastAsia="MS Mincho"/>
          <w:lang w:val="cs-CZ"/>
        </w:rPr>
        <w:t xml:space="preserve"> při jejich záchraně</w:t>
      </w:r>
      <w:r w:rsidR="00AB7EB0" w:rsidRPr="00B63F7D">
        <w:rPr>
          <w:rFonts w:eastAsia="MS Mincho"/>
          <w:lang w:val="cs-CZ"/>
        </w:rPr>
        <w:t>, nebo</w:t>
      </w:r>
      <w:r w:rsidRPr="00B63F7D">
        <w:rPr>
          <w:rFonts w:eastAsia="MS Mincho"/>
          <w:lang w:val="cs-CZ"/>
        </w:rPr>
        <w:t xml:space="preserve"> kvůli podpoře </w:t>
      </w:r>
      <w:r w:rsidR="00AB7EB0" w:rsidRPr="00B63F7D">
        <w:rPr>
          <w:rFonts w:eastAsia="MS Mincho"/>
          <w:lang w:val="cs-CZ"/>
        </w:rPr>
        <w:t>finančních produktů vládou.</w:t>
      </w:r>
      <w:r w:rsidR="000C2DDC" w:rsidRPr="00B63F7D">
        <w:t xml:space="preserve"> </w:t>
      </w:r>
      <w:r w:rsidR="000C2DDC" w:rsidRPr="00B63F7D">
        <w:rPr>
          <w:rFonts w:eastAsia="MS Mincho"/>
          <w:lang w:val="cs-CZ"/>
        </w:rPr>
        <w:t>Obecně tedy platí, že plnění osvobozených od</w:t>
      </w:r>
      <w:r w:rsidR="007B701D" w:rsidRPr="00B63F7D">
        <w:rPr>
          <w:rFonts w:eastAsia="MS Mincho"/>
          <w:lang w:val="cs-CZ"/>
        </w:rPr>
        <w:t> </w:t>
      </w:r>
      <w:r w:rsidR="000C2DDC" w:rsidRPr="00B63F7D">
        <w:rPr>
          <w:rFonts w:eastAsia="MS Mincho"/>
          <w:lang w:val="cs-CZ"/>
        </w:rPr>
        <w:t>daně bez nároku na odpočet daně by mělo být co nejméně.</w:t>
      </w:r>
    </w:p>
    <w:p w:rsidR="0032291A" w:rsidRPr="00B63F7D" w:rsidRDefault="000C2DDC" w:rsidP="0032291A">
      <w:pPr>
        <w:rPr>
          <w:rFonts w:eastAsia="MS Mincho"/>
          <w:lang w:val="cs-CZ"/>
        </w:rPr>
      </w:pPr>
      <w:r w:rsidRPr="00B63F7D">
        <w:rPr>
          <w:rFonts w:eastAsia="MS Mincho"/>
          <w:lang w:val="cs-CZ"/>
        </w:rPr>
        <w:t>Přístupem ke zdaňování finančních služeb DPH se zabývá celá řada expertů,</w:t>
      </w:r>
      <w:r w:rsidR="0032291A" w:rsidRPr="00B63F7D">
        <w:rPr>
          <w:rFonts w:eastAsia="MS Mincho"/>
          <w:lang w:val="cs-CZ"/>
        </w:rPr>
        <w:t xml:space="preserve"> např. </w:t>
      </w:r>
      <w:proofErr w:type="spellStart"/>
      <w:r w:rsidR="0032291A" w:rsidRPr="00B63F7D">
        <w:rPr>
          <w:rFonts w:eastAsia="MS Mincho"/>
          <w:lang w:val="cs-CZ"/>
        </w:rPr>
        <w:t>Zee</w:t>
      </w:r>
      <w:proofErr w:type="spellEnd"/>
      <w:r w:rsidR="0032291A" w:rsidRPr="00B63F7D">
        <w:rPr>
          <w:rFonts w:eastAsia="MS Mincho"/>
          <w:lang w:val="cs-CZ"/>
        </w:rPr>
        <w:t xml:space="preserve">, </w:t>
      </w:r>
      <w:proofErr w:type="spellStart"/>
      <w:r w:rsidR="0032291A" w:rsidRPr="00B63F7D">
        <w:rPr>
          <w:rFonts w:eastAsia="MS Mincho"/>
          <w:lang w:val="cs-CZ"/>
        </w:rPr>
        <w:t>Terra</w:t>
      </w:r>
      <w:proofErr w:type="spellEnd"/>
      <w:r w:rsidR="0032291A" w:rsidRPr="00B63F7D">
        <w:rPr>
          <w:rFonts w:eastAsia="MS Mincho"/>
          <w:lang w:val="cs-CZ"/>
        </w:rPr>
        <w:t xml:space="preserve">, </w:t>
      </w:r>
      <w:proofErr w:type="spellStart"/>
      <w:r w:rsidR="0032291A" w:rsidRPr="00B63F7D">
        <w:rPr>
          <w:rFonts w:eastAsia="MS Mincho"/>
          <w:lang w:val="cs-CZ"/>
        </w:rPr>
        <w:t>Lockwood</w:t>
      </w:r>
      <w:proofErr w:type="spellEnd"/>
      <w:r w:rsidR="0032291A" w:rsidRPr="00B63F7D">
        <w:rPr>
          <w:rFonts w:eastAsia="MS Mincho"/>
          <w:lang w:val="cs-CZ"/>
        </w:rPr>
        <w:t xml:space="preserve">, </w:t>
      </w:r>
      <w:proofErr w:type="spellStart"/>
      <w:r w:rsidR="0032291A" w:rsidRPr="00B63F7D">
        <w:rPr>
          <w:rFonts w:eastAsia="MS Mincho"/>
          <w:lang w:val="cs-CZ"/>
        </w:rPr>
        <w:t>Vostatek</w:t>
      </w:r>
      <w:proofErr w:type="spellEnd"/>
      <w:r w:rsidR="0032291A" w:rsidRPr="00B63F7D">
        <w:rPr>
          <w:rFonts w:eastAsia="MS Mincho"/>
          <w:lang w:val="cs-CZ"/>
        </w:rPr>
        <w:t>.</w:t>
      </w:r>
      <w:r w:rsidR="0056755F" w:rsidRPr="00B63F7D">
        <w:rPr>
          <w:rFonts w:eastAsia="MS Mincho"/>
          <w:lang w:val="cs-CZ"/>
        </w:rPr>
        <w:t xml:space="preserve"> Touto problematikou se autorka příspěvku zabývala také ve své doktorské disertační práci (</w:t>
      </w:r>
      <w:proofErr w:type="spellStart"/>
      <w:r w:rsidR="0056755F" w:rsidRPr="00B63F7D">
        <w:rPr>
          <w:rFonts w:eastAsia="MS Mincho"/>
          <w:lang w:val="cs-CZ"/>
        </w:rPr>
        <w:t>Legierská</w:t>
      </w:r>
      <w:proofErr w:type="spellEnd"/>
      <w:r w:rsidR="0056755F" w:rsidRPr="00B63F7D">
        <w:rPr>
          <w:rFonts w:eastAsia="MS Mincho"/>
          <w:lang w:val="cs-CZ"/>
        </w:rPr>
        <w:t>, 2016).</w:t>
      </w:r>
    </w:p>
    <w:p w:rsidR="00260E74" w:rsidRDefault="00923EE9" w:rsidP="00923EE9">
      <w:pPr>
        <w:rPr>
          <w:rFonts w:eastAsia="MS Mincho"/>
          <w:lang w:val="cs-CZ"/>
        </w:rPr>
      </w:pPr>
      <w:r w:rsidRPr="00B63F7D">
        <w:rPr>
          <w:rFonts w:eastAsia="MS Mincho"/>
          <w:lang w:val="cs-CZ"/>
        </w:rPr>
        <w:t>Cílem příspěvku je na základě mezinárodní komparace n</w:t>
      </w:r>
      <w:r>
        <w:rPr>
          <w:rFonts w:eastAsia="MS Mincho"/>
          <w:lang w:val="cs-CZ"/>
        </w:rPr>
        <w:t>avrhnout</w:t>
      </w:r>
      <w:r w:rsidRPr="003659FA">
        <w:rPr>
          <w:rFonts w:eastAsia="MS Mincho"/>
          <w:lang w:val="cs-CZ"/>
        </w:rPr>
        <w:t xml:space="preserve"> takové úpravy </w:t>
      </w:r>
      <w:r>
        <w:rPr>
          <w:rFonts w:eastAsia="MS Mincho"/>
          <w:lang w:val="cs-CZ"/>
        </w:rPr>
        <w:t xml:space="preserve">stávajícího </w:t>
      </w:r>
      <w:r w:rsidRPr="003659FA">
        <w:rPr>
          <w:rFonts w:eastAsia="MS Mincho"/>
          <w:lang w:val="cs-CZ"/>
        </w:rPr>
        <w:t>zdanění finančních služeb na úrovni E</w:t>
      </w:r>
      <w:r>
        <w:rPr>
          <w:rFonts w:eastAsia="MS Mincho"/>
          <w:lang w:val="cs-CZ"/>
        </w:rPr>
        <w:t>U</w:t>
      </w:r>
      <w:r w:rsidRPr="003659FA">
        <w:rPr>
          <w:rFonts w:eastAsia="MS Mincho"/>
          <w:lang w:val="cs-CZ"/>
        </w:rPr>
        <w:t xml:space="preserve"> a Č</w:t>
      </w:r>
      <w:r w:rsidR="007B701D">
        <w:rPr>
          <w:rFonts w:eastAsia="MS Mincho"/>
          <w:lang w:val="cs-CZ"/>
        </w:rPr>
        <w:t>eské republiky (dále jen ČR)</w:t>
      </w:r>
      <w:r w:rsidRPr="003659FA">
        <w:rPr>
          <w:rFonts w:eastAsia="MS Mincho"/>
          <w:lang w:val="cs-CZ"/>
        </w:rPr>
        <w:t>, které by vedly ke</w:t>
      </w:r>
      <w:r w:rsidR="007B701D">
        <w:rPr>
          <w:rFonts w:eastAsia="MS Mincho"/>
          <w:lang w:val="cs-CZ"/>
        </w:rPr>
        <w:t> </w:t>
      </w:r>
      <w:r w:rsidRPr="003659FA">
        <w:rPr>
          <w:rFonts w:eastAsia="MS Mincho"/>
          <w:lang w:val="cs-CZ"/>
        </w:rPr>
        <w:t xml:space="preserve">snížení distorzí a zvýšení neutrality DPH. </w:t>
      </w:r>
    </w:p>
    <w:p w:rsidR="00923EE9" w:rsidRPr="00F47895" w:rsidRDefault="00923EE9" w:rsidP="00923EE9">
      <w:pPr>
        <w:rPr>
          <w:rFonts w:eastAsia="MS Mincho"/>
          <w:lang w:val="cs-CZ"/>
        </w:rPr>
      </w:pPr>
      <w:r>
        <w:rPr>
          <w:rFonts w:eastAsia="MS Mincho"/>
          <w:lang w:val="cs-CZ"/>
        </w:rPr>
        <w:t>Z</w:t>
      </w:r>
      <w:r w:rsidR="000920CA">
        <w:rPr>
          <w:rFonts w:eastAsia="MS Mincho"/>
          <w:lang w:val="cs-CZ"/>
        </w:rPr>
        <w:t xml:space="preserve"> vědeckých </w:t>
      </w:r>
      <w:r>
        <w:rPr>
          <w:rFonts w:eastAsia="MS Mincho"/>
          <w:lang w:val="cs-CZ"/>
        </w:rPr>
        <w:t>metod</w:t>
      </w:r>
      <w:r w:rsidRPr="006F16E1">
        <w:rPr>
          <w:rFonts w:eastAsia="MS Mincho"/>
          <w:lang w:val="cs-CZ"/>
        </w:rPr>
        <w:t xml:space="preserve"> byly použity metody analýzy, syntézy a deskripce odborné literatury a národní legislativy</w:t>
      </w:r>
      <w:r>
        <w:rPr>
          <w:rFonts w:eastAsia="MS Mincho"/>
          <w:lang w:val="cs-CZ"/>
        </w:rPr>
        <w:t>.</w:t>
      </w:r>
      <w:r w:rsidRPr="006F16E1">
        <w:rPr>
          <w:rFonts w:eastAsia="MS Mincho"/>
          <w:lang w:val="cs-CZ"/>
        </w:rPr>
        <w:t xml:space="preserve"> </w:t>
      </w:r>
    </w:p>
    <w:p w:rsidR="00415FCE" w:rsidRPr="00415FCE" w:rsidRDefault="00415FCE" w:rsidP="00E96A8F">
      <w:pPr>
        <w:pStyle w:val="Nadpis1"/>
        <w:rPr>
          <w:rFonts w:eastAsia="MS Mincho"/>
          <w:lang w:val="cs-CZ"/>
        </w:rPr>
      </w:pPr>
      <w:bookmarkStart w:id="1" w:name="_Toc446669815"/>
      <w:r w:rsidRPr="00415FCE">
        <w:rPr>
          <w:rFonts w:eastAsia="MS Mincho"/>
          <w:lang w:val="cs-CZ"/>
        </w:rPr>
        <w:t>Přístup ke zda</w:t>
      </w:r>
      <w:r w:rsidR="00CF034D">
        <w:rPr>
          <w:rFonts w:eastAsia="MS Mincho"/>
          <w:lang w:val="cs-CZ"/>
        </w:rPr>
        <w:t>ňování</w:t>
      </w:r>
      <w:r w:rsidRPr="00415FCE">
        <w:rPr>
          <w:rFonts w:eastAsia="MS Mincho"/>
          <w:lang w:val="cs-CZ"/>
        </w:rPr>
        <w:t xml:space="preserve"> finančních služeb v EU a ČR</w:t>
      </w:r>
      <w:bookmarkEnd w:id="1"/>
    </w:p>
    <w:p w:rsidR="002178C3" w:rsidRDefault="004D4C89" w:rsidP="00415FCE">
      <w:pPr>
        <w:rPr>
          <w:rFonts w:eastAsia="MS Mincho"/>
          <w:lang w:val="cs-CZ"/>
        </w:rPr>
      </w:pPr>
      <w:r>
        <w:rPr>
          <w:rFonts w:eastAsia="MS Mincho"/>
          <w:lang w:val="cs-CZ"/>
        </w:rPr>
        <w:t xml:space="preserve">Většina finančních služeb poskytovaných </w:t>
      </w:r>
      <w:r w:rsidR="00304433">
        <w:rPr>
          <w:rFonts w:eastAsia="MS Mincho"/>
          <w:lang w:val="cs-CZ"/>
        </w:rPr>
        <w:t xml:space="preserve">finančními institucemi </w:t>
      </w:r>
      <w:r>
        <w:rPr>
          <w:rFonts w:eastAsia="MS Mincho"/>
          <w:lang w:val="cs-CZ"/>
        </w:rPr>
        <w:t xml:space="preserve">v členských státech EU je zdaňována. </w:t>
      </w:r>
      <w:r w:rsidR="002178C3">
        <w:rPr>
          <w:rFonts w:eastAsia="MS Mincho"/>
          <w:lang w:val="cs-CZ"/>
        </w:rPr>
        <w:t xml:space="preserve">Jedná se </w:t>
      </w:r>
      <w:r w:rsidR="002178C3" w:rsidRPr="002178C3">
        <w:rPr>
          <w:rFonts w:eastAsia="MS Mincho"/>
          <w:lang w:val="cs-CZ"/>
        </w:rPr>
        <w:t xml:space="preserve">např. </w:t>
      </w:r>
      <w:r w:rsidR="002178C3">
        <w:rPr>
          <w:rFonts w:eastAsia="MS Mincho"/>
          <w:lang w:val="cs-CZ"/>
        </w:rPr>
        <w:t xml:space="preserve">o </w:t>
      </w:r>
      <w:r w:rsidR="002178C3" w:rsidRPr="002178C3">
        <w:rPr>
          <w:rFonts w:eastAsia="MS Mincho"/>
          <w:lang w:val="cs-CZ"/>
        </w:rPr>
        <w:t>faktoring, vymáhání dluhů, poskytování finančního poradenství, poskytování bankovních informací nebo pronájem bezpečnostních schránek</w:t>
      </w:r>
      <w:r w:rsidR="002178C3">
        <w:rPr>
          <w:rFonts w:eastAsia="MS Mincho"/>
          <w:lang w:val="cs-CZ"/>
        </w:rPr>
        <w:t>. Z</w:t>
      </w:r>
      <w:r w:rsidR="002178C3" w:rsidRPr="002178C3">
        <w:rPr>
          <w:rFonts w:eastAsia="MS Mincho"/>
          <w:lang w:val="cs-CZ"/>
        </w:rPr>
        <w:t>áklad</w:t>
      </w:r>
      <w:r w:rsidR="002178C3">
        <w:rPr>
          <w:rFonts w:eastAsia="MS Mincho"/>
          <w:lang w:val="cs-CZ"/>
        </w:rPr>
        <w:t>em</w:t>
      </w:r>
      <w:r w:rsidR="002178C3" w:rsidRPr="002178C3">
        <w:rPr>
          <w:rFonts w:eastAsia="MS Mincho"/>
          <w:lang w:val="cs-CZ"/>
        </w:rPr>
        <w:t xml:space="preserve"> daně </w:t>
      </w:r>
      <w:r w:rsidR="002178C3">
        <w:rPr>
          <w:rFonts w:eastAsia="MS Mincho"/>
          <w:lang w:val="cs-CZ"/>
        </w:rPr>
        <w:t xml:space="preserve">je </w:t>
      </w:r>
      <w:r w:rsidR="002178C3" w:rsidRPr="002178C3">
        <w:rPr>
          <w:rFonts w:eastAsia="MS Mincho"/>
          <w:lang w:val="cs-CZ"/>
        </w:rPr>
        <w:t>zpravidla hrubá částka poplatků zaplacených zákazníkem.</w:t>
      </w:r>
    </w:p>
    <w:p w:rsidR="002178C3" w:rsidRDefault="004D4C89" w:rsidP="00415FCE">
      <w:pPr>
        <w:rPr>
          <w:rFonts w:eastAsia="MS Mincho"/>
          <w:lang w:val="cs-CZ"/>
        </w:rPr>
      </w:pPr>
      <w:r>
        <w:rPr>
          <w:rFonts w:eastAsia="MS Mincho"/>
          <w:lang w:val="cs-CZ"/>
        </w:rPr>
        <w:t xml:space="preserve">Zbylá část </w:t>
      </w:r>
      <w:r w:rsidR="002178C3">
        <w:rPr>
          <w:rFonts w:eastAsia="MS Mincho"/>
          <w:lang w:val="cs-CZ"/>
        </w:rPr>
        <w:t xml:space="preserve">finančních služeb </w:t>
      </w:r>
      <w:r>
        <w:rPr>
          <w:rFonts w:eastAsia="MS Mincho"/>
          <w:lang w:val="cs-CZ"/>
        </w:rPr>
        <w:t>může být buď osvobozena od daně bez nároku na odpočet daně na</w:t>
      </w:r>
      <w:r w:rsidR="00304433">
        <w:rPr>
          <w:rFonts w:eastAsia="MS Mincho"/>
          <w:lang w:val="cs-CZ"/>
        </w:rPr>
        <w:t> </w:t>
      </w:r>
      <w:r>
        <w:rPr>
          <w:rFonts w:eastAsia="MS Mincho"/>
          <w:lang w:val="cs-CZ"/>
        </w:rPr>
        <w:t xml:space="preserve">vstupu, nebo za určitých podmínek zdaněna. Tato část služeb nese z legislativně technických důvodů </w:t>
      </w:r>
      <w:r w:rsidR="00304433">
        <w:rPr>
          <w:rFonts w:eastAsia="MS Mincho"/>
          <w:lang w:val="cs-CZ"/>
        </w:rPr>
        <w:t xml:space="preserve">dle </w:t>
      </w:r>
      <w:r w:rsidR="00304433" w:rsidRPr="00415FCE">
        <w:rPr>
          <w:rFonts w:eastAsia="MS Mincho"/>
          <w:lang w:val="cs-CZ"/>
        </w:rPr>
        <w:t xml:space="preserve">článku 137 </w:t>
      </w:r>
      <w:r w:rsidR="00304433" w:rsidRPr="00EF010C">
        <w:rPr>
          <w:rFonts w:eastAsia="MS Mincho"/>
          <w:lang w:val="cs-CZ"/>
        </w:rPr>
        <w:t xml:space="preserve">SMĚRNICE RADY 2006/112/ES ze dne 28. listopadu 2006 o společném systému daně </w:t>
      </w:r>
      <w:r w:rsidR="00304433">
        <w:rPr>
          <w:rFonts w:eastAsia="MS Mincho"/>
          <w:lang w:val="cs-CZ"/>
        </w:rPr>
        <w:t xml:space="preserve">z přidané hodnoty (dále </w:t>
      </w:r>
      <w:r w:rsidR="00304433" w:rsidRPr="00B63F7D">
        <w:rPr>
          <w:rFonts w:eastAsia="MS Mincho"/>
          <w:lang w:val="cs-CZ"/>
        </w:rPr>
        <w:t xml:space="preserve">jen Směrnice o DPH) </w:t>
      </w:r>
      <w:r w:rsidRPr="00B63F7D">
        <w:rPr>
          <w:rFonts w:eastAsia="MS Mincho"/>
          <w:lang w:val="cs-CZ"/>
        </w:rPr>
        <w:t>odlišný název – finanční činnosti</w:t>
      </w:r>
      <w:r w:rsidR="00304433" w:rsidRPr="00B63F7D">
        <w:rPr>
          <w:rFonts w:eastAsia="MS Mincho"/>
          <w:lang w:val="cs-CZ"/>
        </w:rPr>
        <w:t>.</w:t>
      </w:r>
      <w:r w:rsidR="00304433" w:rsidRPr="00B63F7D">
        <w:t xml:space="preserve"> </w:t>
      </w:r>
      <w:r w:rsidR="00304433" w:rsidRPr="00B63F7D">
        <w:rPr>
          <w:lang w:val="cs-CZ"/>
        </w:rPr>
        <w:t>Č</w:t>
      </w:r>
      <w:r w:rsidR="00415FCE" w:rsidRPr="00B63F7D">
        <w:rPr>
          <w:rFonts w:eastAsia="MS Mincho"/>
          <w:lang w:val="cs-CZ"/>
        </w:rPr>
        <w:t xml:space="preserve">lenské státy </w:t>
      </w:r>
      <w:r w:rsidR="00304433" w:rsidRPr="00B63F7D">
        <w:rPr>
          <w:rFonts w:eastAsia="MS Mincho"/>
          <w:lang w:val="cs-CZ"/>
        </w:rPr>
        <w:t xml:space="preserve">EU </w:t>
      </w:r>
      <w:r w:rsidR="00415FCE" w:rsidRPr="00B63F7D">
        <w:rPr>
          <w:rFonts w:eastAsia="MS Mincho"/>
          <w:lang w:val="cs-CZ"/>
        </w:rPr>
        <w:t xml:space="preserve">mohou </w:t>
      </w:r>
      <w:r w:rsidR="00304433" w:rsidRPr="00B63F7D">
        <w:rPr>
          <w:rFonts w:eastAsia="MS Mincho"/>
          <w:lang w:val="cs-CZ"/>
        </w:rPr>
        <w:t xml:space="preserve">ve svých národních zákonech </w:t>
      </w:r>
      <w:r w:rsidR="003B052D" w:rsidRPr="00B63F7D">
        <w:rPr>
          <w:rFonts w:eastAsia="MS Mincho"/>
          <w:lang w:val="cs-CZ"/>
        </w:rPr>
        <w:t>nabídnout</w:t>
      </w:r>
      <w:r w:rsidR="00415FCE" w:rsidRPr="00B63F7D">
        <w:rPr>
          <w:rFonts w:eastAsia="MS Mincho"/>
          <w:lang w:val="cs-CZ"/>
        </w:rPr>
        <w:t xml:space="preserve"> osobám</w:t>
      </w:r>
      <w:r w:rsidR="00415FCE" w:rsidRPr="000746F5">
        <w:rPr>
          <w:rFonts w:eastAsia="MS Mincho"/>
          <w:lang w:val="cs-CZ"/>
        </w:rPr>
        <w:t xml:space="preserve"> po</w:t>
      </w:r>
      <w:r w:rsidR="00304433" w:rsidRPr="000746F5">
        <w:rPr>
          <w:rFonts w:eastAsia="MS Mincho"/>
          <w:lang w:val="cs-CZ"/>
        </w:rPr>
        <w:t>skytujícím tyto služby</w:t>
      </w:r>
      <w:r w:rsidR="000746F5" w:rsidRPr="000746F5">
        <w:rPr>
          <w:rFonts w:eastAsia="MS Mincho"/>
          <w:lang w:val="cs-CZ"/>
        </w:rPr>
        <w:t xml:space="preserve"> </w:t>
      </w:r>
      <w:r w:rsidR="000746F5">
        <w:rPr>
          <w:rFonts w:eastAsia="MS Mincho"/>
          <w:lang w:val="cs-CZ"/>
        </w:rPr>
        <w:t xml:space="preserve">je </w:t>
      </w:r>
      <w:r w:rsidR="000746F5" w:rsidRPr="000746F5">
        <w:rPr>
          <w:rFonts w:eastAsia="MS Mincho"/>
          <w:lang w:val="cs-CZ"/>
        </w:rPr>
        <w:t>buď zdanit, či osvobodit</w:t>
      </w:r>
      <w:r w:rsidR="00415FCE" w:rsidRPr="00415FCE">
        <w:rPr>
          <w:rFonts w:eastAsia="MS Mincho"/>
          <w:lang w:val="cs-CZ"/>
        </w:rPr>
        <w:t xml:space="preserve">. </w:t>
      </w:r>
      <w:r w:rsidR="0043595F">
        <w:rPr>
          <w:rFonts w:eastAsia="MS Mincho"/>
          <w:lang w:val="cs-CZ"/>
        </w:rPr>
        <w:t>Většina zemí EU vč. ČR však tuto volbu</w:t>
      </w:r>
      <w:r w:rsidR="000746F5">
        <w:rPr>
          <w:rFonts w:eastAsia="MS Mincho"/>
          <w:lang w:val="cs-CZ"/>
        </w:rPr>
        <w:t xml:space="preserve"> neumožňuje a naopak</w:t>
      </w:r>
      <w:r w:rsidR="00415FCE" w:rsidRPr="00415FCE">
        <w:rPr>
          <w:rFonts w:eastAsia="MS Mincho"/>
          <w:lang w:val="cs-CZ"/>
        </w:rPr>
        <w:t xml:space="preserve"> finanční</w:t>
      </w:r>
      <w:r w:rsidR="000746F5">
        <w:rPr>
          <w:rFonts w:eastAsia="MS Mincho"/>
          <w:lang w:val="cs-CZ"/>
        </w:rPr>
        <w:t xml:space="preserve"> činnosti jsou povinně osvobozeny</w:t>
      </w:r>
      <w:r w:rsidR="00415FCE" w:rsidRPr="00415FCE">
        <w:rPr>
          <w:rFonts w:eastAsia="MS Mincho"/>
          <w:lang w:val="cs-CZ"/>
        </w:rPr>
        <w:t xml:space="preserve"> od daně bez nároku na</w:t>
      </w:r>
      <w:r w:rsidR="000746F5">
        <w:rPr>
          <w:rFonts w:eastAsia="MS Mincho"/>
          <w:lang w:val="cs-CZ"/>
        </w:rPr>
        <w:t> </w:t>
      </w:r>
      <w:r w:rsidR="00415FCE" w:rsidRPr="00415FCE">
        <w:rPr>
          <w:rFonts w:eastAsia="MS Mincho"/>
          <w:lang w:val="cs-CZ"/>
        </w:rPr>
        <w:t xml:space="preserve">odpočet. </w:t>
      </w:r>
    </w:p>
    <w:p w:rsidR="00415FCE" w:rsidRPr="00415FCE" w:rsidRDefault="00415FCE" w:rsidP="0060572C">
      <w:pPr>
        <w:rPr>
          <w:rFonts w:eastAsia="MS Mincho"/>
          <w:lang w:val="cs-CZ"/>
        </w:rPr>
      </w:pPr>
      <w:r w:rsidRPr="00415FCE">
        <w:rPr>
          <w:rFonts w:eastAsia="MS Mincho"/>
          <w:lang w:val="cs-CZ"/>
        </w:rPr>
        <w:t>Pouze šest členských států EU – Belgie, Francie, Litva, Německo, Rakousko a Estonsko – umožnilo plátcům DPH právo opce, a to ještě každý jinou formou.</w:t>
      </w:r>
      <w:r w:rsidR="00BD6B49" w:rsidRPr="00BD6B49">
        <w:t xml:space="preserve"> </w:t>
      </w:r>
      <w:r w:rsidRPr="00415FCE">
        <w:rPr>
          <w:rFonts w:eastAsia="MS Mincho"/>
          <w:lang w:val="cs-CZ"/>
        </w:rPr>
        <w:t>Rozdíly v aplikaci jsou dány:</w:t>
      </w:r>
    </w:p>
    <w:p w:rsidR="00220E76" w:rsidRPr="00220E76" w:rsidRDefault="00415FCE" w:rsidP="00220E76">
      <w:pPr>
        <w:pStyle w:val="Odstavecseseznamem"/>
        <w:numPr>
          <w:ilvl w:val="0"/>
          <w:numId w:val="5"/>
        </w:numPr>
        <w:ind w:left="426" w:hanging="426"/>
        <w:rPr>
          <w:rFonts w:eastAsia="MS Mincho"/>
          <w:lang w:val="cs-CZ"/>
        </w:rPr>
      </w:pPr>
      <w:r w:rsidRPr="00220E76">
        <w:rPr>
          <w:rFonts w:eastAsia="MS Mincho"/>
          <w:lang w:val="cs-CZ"/>
        </w:rPr>
        <w:lastRenderedPageBreak/>
        <w:t xml:space="preserve">rozsahem zdanění – většina těchto států sice </w:t>
      </w:r>
      <w:r w:rsidR="0060572C" w:rsidRPr="00220E76">
        <w:rPr>
          <w:rFonts w:eastAsia="MS Mincho"/>
          <w:lang w:val="cs-CZ"/>
        </w:rPr>
        <w:t>umožňuje zdaňovat</w:t>
      </w:r>
      <w:r w:rsidRPr="00220E76">
        <w:rPr>
          <w:rFonts w:eastAsia="MS Mincho"/>
          <w:lang w:val="cs-CZ"/>
        </w:rPr>
        <w:t xml:space="preserve"> platební transakc</w:t>
      </w:r>
      <w:r w:rsidR="00FC5E74" w:rsidRPr="00220E76">
        <w:rPr>
          <w:rFonts w:eastAsia="MS Mincho"/>
          <w:lang w:val="cs-CZ"/>
        </w:rPr>
        <w:t>e</w:t>
      </w:r>
      <w:r w:rsidRPr="00220E76">
        <w:rPr>
          <w:rFonts w:eastAsia="MS Mincho"/>
          <w:lang w:val="cs-CZ"/>
        </w:rPr>
        <w:t xml:space="preserve">, </w:t>
      </w:r>
      <w:r w:rsidR="00FC5E74" w:rsidRPr="00220E76">
        <w:rPr>
          <w:rFonts w:eastAsia="MS Mincho"/>
          <w:lang w:val="cs-CZ"/>
        </w:rPr>
        <w:t>avšak v různém</w:t>
      </w:r>
      <w:r w:rsidRPr="00220E76">
        <w:rPr>
          <w:rFonts w:eastAsia="MS Mincho"/>
          <w:lang w:val="cs-CZ"/>
        </w:rPr>
        <w:t xml:space="preserve"> rozsahu</w:t>
      </w:r>
      <w:r w:rsidR="00BD6B49">
        <w:rPr>
          <w:rFonts w:eastAsia="MS Mincho"/>
          <w:lang w:val="cs-CZ"/>
        </w:rPr>
        <w:t>. Například</w:t>
      </w:r>
      <w:r w:rsidRPr="00220E76">
        <w:rPr>
          <w:rFonts w:eastAsia="MS Mincho"/>
          <w:lang w:val="cs-CZ"/>
        </w:rPr>
        <w:t xml:space="preserve"> v Litvě, Německu a Estonsku se DPH vztahuje i na měnové operace, v Estonsku navíc i </w:t>
      </w:r>
      <w:r w:rsidR="00220E76">
        <w:rPr>
          <w:rFonts w:eastAsia="MS Mincho"/>
          <w:lang w:val="cs-CZ"/>
        </w:rPr>
        <w:t xml:space="preserve">na transakce </w:t>
      </w:r>
      <w:r w:rsidRPr="00220E76">
        <w:rPr>
          <w:rFonts w:eastAsia="MS Mincho"/>
          <w:lang w:val="cs-CZ"/>
        </w:rPr>
        <w:t>v rámci investičních fondů</w:t>
      </w:r>
      <w:r w:rsidR="00BD6B49">
        <w:rPr>
          <w:rFonts w:eastAsia="MS Mincho"/>
          <w:lang w:val="cs-CZ"/>
        </w:rPr>
        <w:t>,</w:t>
      </w:r>
      <w:r w:rsidR="00220E76" w:rsidRPr="00220E76">
        <w:rPr>
          <w:rFonts w:eastAsia="MS Mincho"/>
          <w:lang w:val="cs-CZ"/>
        </w:rPr>
        <w:t xml:space="preserve"> Belgie a Francie procentuálně či jinak vymezily rozsah zdanitelných plnění, jež je možné uskutečňovat s</w:t>
      </w:r>
      <w:r w:rsidR="00183649">
        <w:rPr>
          <w:rFonts w:eastAsia="MS Mincho"/>
          <w:lang w:val="cs-CZ"/>
        </w:rPr>
        <w:t> </w:t>
      </w:r>
      <w:r w:rsidR="00220E76" w:rsidRPr="00220E76">
        <w:rPr>
          <w:rFonts w:eastAsia="MS Mincho"/>
          <w:lang w:val="cs-CZ"/>
        </w:rPr>
        <w:t>DPH</w:t>
      </w:r>
      <w:r w:rsidR="00220E76">
        <w:rPr>
          <w:rFonts w:eastAsia="MS Mincho"/>
          <w:lang w:val="cs-CZ"/>
        </w:rPr>
        <w:t>,</w:t>
      </w:r>
    </w:p>
    <w:p w:rsidR="00BD6B49" w:rsidRPr="00B63F7D" w:rsidRDefault="00415FCE" w:rsidP="00BD6B49">
      <w:pPr>
        <w:pStyle w:val="Odstavecseseznamem"/>
        <w:numPr>
          <w:ilvl w:val="0"/>
          <w:numId w:val="5"/>
        </w:numPr>
        <w:ind w:left="426" w:hanging="426"/>
        <w:rPr>
          <w:rFonts w:eastAsia="MS Mincho"/>
          <w:lang w:val="cs-CZ"/>
        </w:rPr>
      </w:pPr>
      <w:r w:rsidRPr="00BD6B49">
        <w:rPr>
          <w:rFonts w:eastAsia="MS Mincho"/>
          <w:lang w:val="cs-CZ"/>
        </w:rPr>
        <w:t xml:space="preserve">statutem zákazníka – </w:t>
      </w:r>
      <w:r w:rsidR="00220E76" w:rsidRPr="00BD6B49">
        <w:rPr>
          <w:rFonts w:eastAsia="MS Mincho"/>
          <w:lang w:val="cs-CZ"/>
        </w:rPr>
        <w:t xml:space="preserve">finanční činnosti </w:t>
      </w:r>
      <w:r w:rsidRPr="00BD6B49">
        <w:rPr>
          <w:rFonts w:eastAsia="MS Mincho"/>
          <w:lang w:val="cs-CZ"/>
        </w:rPr>
        <w:t xml:space="preserve">v Německu a v Litvě </w:t>
      </w:r>
      <w:r w:rsidR="00220E76" w:rsidRPr="00BD6B49">
        <w:rPr>
          <w:rFonts w:eastAsia="MS Mincho"/>
          <w:lang w:val="cs-CZ"/>
        </w:rPr>
        <w:t xml:space="preserve">jsou zdaněny, pokud je </w:t>
      </w:r>
      <w:r w:rsidRPr="00BD6B49">
        <w:rPr>
          <w:rFonts w:eastAsia="MS Mincho"/>
          <w:lang w:val="cs-CZ"/>
        </w:rPr>
        <w:t xml:space="preserve">zákazník plátcem </w:t>
      </w:r>
      <w:r w:rsidRPr="00B63F7D">
        <w:rPr>
          <w:rFonts w:eastAsia="MS Mincho"/>
          <w:lang w:val="cs-CZ"/>
        </w:rPr>
        <w:t>DPH</w:t>
      </w:r>
      <w:r w:rsidR="003F3BD4" w:rsidRPr="00B63F7D">
        <w:rPr>
          <w:rFonts w:eastAsia="MS Mincho"/>
          <w:lang w:val="cs-CZ"/>
        </w:rPr>
        <w:t xml:space="preserve"> (Pátek, 2008)</w:t>
      </w:r>
      <w:r w:rsidR="00D01176" w:rsidRPr="00B63F7D">
        <w:rPr>
          <w:rFonts w:eastAsia="MS Mincho"/>
          <w:lang w:val="cs-CZ"/>
        </w:rPr>
        <w:t>.</w:t>
      </w:r>
    </w:p>
    <w:p w:rsidR="00415FCE" w:rsidRPr="00BD6B49" w:rsidRDefault="00415FCE" w:rsidP="00BD6B49">
      <w:pPr>
        <w:rPr>
          <w:rFonts w:eastAsia="MS Mincho"/>
          <w:lang w:val="cs-CZ"/>
        </w:rPr>
      </w:pPr>
      <w:r w:rsidRPr="00BD6B49">
        <w:rPr>
          <w:rFonts w:eastAsia="MS Mincho"/>
          <w:lang w:val="cs-CZ"/>
        </w:rPr>
        <w:t>V roce 2007 připravila Evropská komise návrh novely</w:t>
      </w:r>
      <w:r w:rsidRPr="00BD6B49">
        <w:rPr>
          <w:rFonts w:eastAsia="MS Mincho"/>
          <w:bCs/>
          <w:lang w:val="cs-CZ"/>
        </w:rPr>
        <w:t xml:space="preserve"> Směrnice o DPH</w:t>
      </w:r>
      <w:r w:rsidR="00D01176">
        <w:rPr>
          <w:rFonts w:eastAsia="MS Mincho"/>
          <w:bCs/>
          <w:lang w:val="cs-CZ"/>
        </w:rPr>
        <w:t>, který</w:t>
      </w:r>
      <w:r w:rsidRPr="00BD6B49">
        <w:rPr>
          <w:rFonts w:eastAsia="MS Mincho"/>
          <w:lang w:val="cs-CZ"/>
        </w:rPr>
        <w:t xml:space="preserve"> ukládal členským státům EU povinnost </w:t>
      </w:r>
      <w:r w:rsidR="00D01176">
        <w:rPr>
          <w:rFonts w:eastAsia="MS Mincho"/>
          <w:lang w:val="cs-CZ"/>
        </w:rPr>
        <w:t>začlenit do svých národních zákonů o DPH možnost volby, aby si</w:t>
      </w:r>
      <w:r w:rsidRPr="00BD6B49">
        <w:rPr>
          <w:rFonts w:eastAsia="MS Mincho"/>
          <w:lang w:val="cs-CZ"/>
        </w:rPr>
        <w:t xml:space="preserve"> finanční instituc</w:t>
      </w:r>
      <w:r w:rsidR="00D01176">
        <w:rPr>
          <w:rFonts w:eastAsia="MS Mincho"/>
          <w:lang w:val="cs-CZ"/>
        </w:rPr>
        <w:t>e</w:t>
      </w:r>
      <w:r w:rsidRPr="00BD6B49">
        <w:rPr>
          <w:rFonts w:eastAsia="MS Mincho"/>
          <w:lang w:val="cs-CZ"/>
        </w:rPr>
        <w:t xml:space="preserve"> zvolily, budou-li </w:t>
      </w:r>
      <w:r w:rsidR="00D01176">
        <w:rPr>
          <w:rFonts w:eastAsia="MS Mincho"/>
          <w:lang w:val="cs-CZ"/>
        </w:rPr>
        <w:t>finanční činnosti</w:t>
      </w:r>
      <w:r w:rsidRPr="00BD6B49">
        <w:rPr>
          <w:rFonts w:eastAsia="MS Mincho"/>
          <w:lang w:val="cs-CZ"/>
        </w:rPr>
        <w:t xml:space="preserve"> zdaňovat nebo aplikovat režim osvobození od daně bez nároku na </w:t>
      </w:r>
      <w:r w:rsidRPr="000E27D4">
        <w:rPr>
          <w:rFonts w:eastAsia="MS Mincho"/>
          <w:lang w:val="cs-CZ"/>
        </w:rPr>
        <w:t>odpočet (</w:t>
      </w:r>
      <w:r w:rsidR="00183649">
        <w:rPr>
          <w:rFonts w:eastAsia="MS Mincho"/>
          <w:lang w:val="cs-CZ"/>
        </w:rPr>
        <w:t xml:space="preserve">tzv. </w:t>
      </w:r>
      <w:r w:rsidRPr="000E27D4">
        <w:rPr>
          <w:rFonts w:eastAsia="MS Mincho"/>
        </w:rPr>
        <w:t>opt to tax</w:t>
      </w:r>
      <w:r w:rsidRPr="000E27D4">
        <w:rPr>
          <w:rFonts w:eastAsia="MS Mincho"/>
          <w:lang w:val="cs-CZ"/>
        </w:rPr>
        <w:t xml:space="preserve">). Dále byl návrhem novely řešen tzv. přeshraniční </w:t>
      </w:r>
      <w:r w:rsidRPr="000E27D4">
        <w:rPr>
          <w:rFonts w:eastAsia="MS Mincho"/>
        </w:rPr>
        <w:t>cost-sharing agreement</w:t>
      </w:r>
      <w:r w:rsidRPr="000E27D4">
        <w:rPr>
          <w:rFonts w:eastAsia="MS Mincho"/>
          <w:lang w:val="cs-CZ"/>
        </w:rPr>
        <w:t>, což</w:t>
      </w:r>
      <w:r w:rsidRPr="00BD6B49">
        <w:rPr>
          <w:rFonts w:eastAsia="MS Mincho"/>
          <w:lang w:val="cs-CZ"/>
        </w:rPr>
        <w:t xml:space="preserve"> se dotýká dohody o sdílení daně jednotlivými členskými státy EU v případě přeshraničního poskytování finančních činností.</w:t>
      </w:r>
    </w:p>
    <w:p w:rsidR="002178C3" w:rsidRDefault="00415FCE" w:rsidP="00415FCE">
      <w:pPr>
        <w:rPr>
          <w:rFonts w:eastAsia="MS Mincho"/>
          <w:lang w:val="cs-CZ"/>
        </w:rPr>
      </w:pPr>
      <w:r w:rsidRPr="00415FCE">
        <w:rPr>
          <w:rFonts w:eastAsia="MS Mincho"/>
          <w:lang w:val="cs-CZ"/>
        </w:rPr>
        <w:t>Cílem tehdy připravené změny bylo zvýšit právní jistotu v oblasti, která nebyla novelizována od roku 1977 a aktualizovat stávající pravidla s ohledem na globalizaci finančního prostředí</w:t>
      </w:r>
      <w:r w:rsidR="00F40B60">
        <w:rPr>
          <w:rFonts w:eastAsia="MS Mincho"/>
          <w:lang w:val="cs-CZ"/>
        </w:rPr>
        <w:t xml:space="preserve"> </w:t>
      </w:r>
      <w:r w:rsidR="00F40B60" w:rsidRPr="00B63F7D">
        <w:rPr>
          <w:rFonts w:eastAsia="MS Mincho"/>
          <w:lang w:val="cs-CZ"/>
        </w:rPr>
        <w:t>(Balážová, 2008)</w:t>
      </w:r>
      <w:r w:rsidRPr="00B63F7D">
        <w:rPr>
          <w:rFonts w:eastAsia="MS Mincho"/>
          <w:lang w:val="cs-CZ"/>
        </w:rPr>
        <w:t xml:space="preserve">. </w:t>
      </w:r>
      <w:r w:rsidRPr="00B63F7D">
        <w:rPr>
          <w:rFonts w:eastAsia="MS Mincho"/>
          <w:bCs/>
          <w:lang w:val="cs-CZ"/>
        </w:rPr>
        <w:t>V</w:t>
      </w:r>
      <w:r w:rsidRPr="00B63F7D">
        <w:rPr>
          <w:rFonts w:eastAsia="MS Mincho"/>
          <w:lang w:val="cs-CZ"/>
        </w:rPr>
        <w:t xml:space="preserve"> září 2008 byl návrh projednán Evropským parlamentem, avšak předpokládané datum</w:t>
      </w:r>
      <w:r w:rsidRPr="00415FCE">
        <w:rPr>
          <w:rFonts w:eastAsia="MS Mincho"/>
          <w:lang w:val="cs-CZ"/>
        </w:rPr>
        <w:t xml:space="preserve"> účinnosti k 1. lednu 2009, ani k 1. lednu 2012 nebylo dodrženo kvůli nejednotnosti přístupu členských zemí EU. Od dalšího projednávání bylo </w:t>
      </w:r>
      <w:r w:rsidR="002178C3">
        <w:rPr>
          <w:rFonts w:eastAsia="MS Mincho"/>
          <w:lang w:val="cs-CZ"/>
        </w:rPr>
        <w:t xml:space="preserve">proto </w:t>
      </w:r>
      <w:r w:rsidRPr="00415FCE">
        <w:rPr>
          <w:rFonts w:eastAsia="MS Mincho"/>
          <w:lang w:val="cs-CZ"/>
        </w:rPr>
        <w:t xml:space="preserve">upuštěno. </w:t>
      </w:r>
    </w:p>
    <w:p w:rsidR="002178C3" w:rsidRPr="002A1A28" w:rsidRDefault="00415FCE" w:rsidP="00415FCE">
      <w:pPr>
        <w:rPr>
          <w:lang w:val="cs-CZ"/>
        </w:rPr>
      </w:pPr>
      <w:r w:rsidRPr="00415FCE">
        <w:rPr>
          <w:rFonts w:eastAsia="MS Mincho"/>
          <w:lang w:val="cs-CZ"/>
        </w:rPr>
        <w:t xml:space="preserve">V následujících letech </w:t>
      </w:r>
      <w:r w:rsidR="00916EA6">
        <w:rPr>
          <w:rFonts w:eastAsia="MS Mincho"/>
          <w:lang w:val="cs-CZ"/>
        </w:rPr>
        <w:t>probíhalo</w:t>
      </w:r>
      <w:r w:rsidRPr="00415FCE">
        <w:rPr>
          <w:rFonts w:eastAsia="MS Mincho"/>
          <w:lang w:val="cs-CZ"/>
        </w:rPr>
        <w:t xml:space="preserve"> upřesňování definic finančních činností</w:t>
      </w:r>
      <w:r w:rsidR="00916EA6">
        <w:rPr>
          <w:rFonts w:eastAsia="MS Mincho"/>
          <w:lang w:val="cs-CZ"/>
        </w:rPr>
        <w:t>, a to zejména kvůli nejednotnému výkladu a následným soudním sporům</w:t>
      </w:r>
      <w:r w:rsidRPr="00415FCE">
        <w:rPr>
          <w:rFonts w:eastAsia="MS Mincho"/>
          <w:lang w:val="cs-CZ"/>
        </w:rPr>
        <w:t xml:space="preserve">. </w:t>
      </w:r>
      <w:r w:rsidR="00916EA6">
        <w:rPr>
          <w:rFonts w:eastAsia="MS Mincho"/>
          <w:lang w:val="cs-CZ"/>
        </w:rPr>
        <w:t>S</w:t>
      </w:r>
      <w:r w:rsidRPr="00415FCE">
        <w:rPr>
          <w:rFonts w:eastAsia="MS Mincho"/>
          <w:lang w:val="cs-CZ"/>
        </w:rPr>
        <w:t>tanovení hranice mezi zdaněním a osvobozením některých obdobných fi</w:t>
      </w:r>
      <w:r w:rsidR="00916EA6">
        <w:rPr>
          <w:rFonts w:eastAsia="MS Mincho"/>
          <w:lang w:val="cs-CZ"/>
        </w:rPr>
        <w:t xml:space="preserve">nančních služeb není </w:t>
      </w:r>
      <w:r w:rsidR="002178C3">
        <w:rPr>
          <w:rFonts w:eastAsia="MS Mincho"/>
          <w:lang w:val="cs-CZ"/>
        </w:rPr>
        <w:t>mnohdy</w:t>
      </w:r>
      <w:r w:rsidR="00916EA6">
        <w:rPr>
          <w:rFonts w:eastAsia="MS Mincho"/>
          <w:lang w:val="cs-CZ"/>
        </w:rPr>
        <w:t xml:space="preserve"> zřetelná</w:t>
      </w:r>
      <w:r w:rsidR="002A1A28">
        <w:rPr>
          <w:rFonts w:eastAsia="MS Mincho"/>
          <w:lang w:val="cs-CZ"/>
        </w:rPr>
        <w:t xml:space="preserve"> a</w:t>
      </w:r>
      <w:r w:rsidR="002178C3" w:rsidRPr="002178C3">
        <w:t xml:space="preserve"> </w:t>
      </w:r>
      <w:r w:rsidR="00AF782F" w:rsidRPr="00AF782F">
        <w:rPr>
          <w:lang w:val="cs-CZ"/>
        </w:rPr>
        <w:t>vede</w:t>
      </w:r>
      <w:r w:rsidR="002A1A28" w:rsidRPr="00AF782F">
        <w:rPr>
          <w:lang w:val="cs-CZ"/>
        </w:rPr>
        <w:t xml:space="preserve"> </w:t>
      </w:r>
      <w:r w:rsidR="002A1A28" w:rsidRPr="002A1A28">
        <w:t>k</w:t>
      </w:r>
      <w:r w:rsidR="002A1A28">
        <w:t> </w:t>
      </w:r>
      <w:r w:rsidR="002A1A28" w:rsidRPr="002A1A28">
        <w:rPr>
          <w:lang w:val="cs-CZ"/>
        </w:rPr>
        <w:t>častým chybám.</w:t>
      </w:r>
    </w:p>
    <w:p w:rsidR="002A1A28" w:rsidRDefault="00415FCE" w:rsidP="00415FCE">
      <w:pPr>
        <w:rPr>
          <w:rFonts w:eastAsia="MS Mincho"/>
          <w:lang w:val="cs-CZ"/>
        </w:rPr>
      </w:pPr>
      <w:r w:rsidRPr="00415FCE">
        <w:rPr>
          <w:rFonts w:eastAsia="MS Mincho"/>
          <w:lang w:val="cs-CZ"/>
        </w:rPr>
        <w:t>Obdobná situace je i v českém zákoně</w:t>
      </w:r>
      <w:r w:rsidR="002178C3">
        <w:rPr>
          <w:rFonts w:eastAsia="MS Mincho"/>
          <w:lang w:val="cs-CZ"/>
        </w:rPr>
        <w:t xml:space="preserve"> č. 235/</w:t>
      </w:r>
      <w:r w:rsidR="00183649">
        <w:rPr>
          <w:rFonts w:eastAsia="MS Mincho"/>
          <w:lang w:val="cs-CZ"/>
        </w:rPr>
        <w:t>2004</w:t>
      </w:r>
      <w:r w:rsidR="002178C3">
        <w:rPr>
          <w:rFonts w:eastAsia="MS Mincho"/>
          <w:lang w:val="cs-CZ"/>
        </w:rPr>
        <w:t xml:space="preserve"> Sb.,</w:t>
      </w:r>
      <w:r w:rsidRPr="00415FCE">
        <w:rPr>
          <w:rFonts w:eastAsia="MS Mincho"/>
          <w:lang w:val="cs-CZ"/>
        </w:rPr>
        <w:t xml:space="preserve"> o DPH. </w:t>
      </w:r>
      <w:r w:rsidR="004C7CFD">
        <w:rPr>
          <w:rFonts w:eastAsia="MS Mincho"/>
          <w:lang w:val="cs-CZ"/>
        </w:rPr>
        <w:t>Finanční činnosti vyjmenované</w:t>
      </w:r>
      <w:r w:rsidR="002178C3">
        <w:rPr>
          <w:rFonts w:eastAsia="MS Mincho"/>
          <w:lang w:val="cs-CZ"/>
        </w:rPr>
        <w:t xml:space="preserve"> v </w:t>
      </w:r>
      <w:r w:rsidRPr="00415FCE">
        <w:rPr>
          <w:rFonts w:eastAsia="MS Mincho"/>
          <w:lang w:val="cs-CZ"/>
        </w:rPr>
        <w:t>§ 54 odst. 1</w:t>
      </w:r>
      <w:r w:rsidR="002178C3">
        <w:rPr>
          <w:rFonts w:eastAsia="MS Mincho"/>
          <w:lang w:val="cs-CZ"/>
        </w:rPr>
        <w:t xml:space="preserve"> </w:t>
      </w:r>
      <w:r w:rsidRPr="00415FCE">
        <w:rPr>
          <w:rFonts w:eastAsia="MS Mincho"/>
          <w:lang w:val="cs-CZ"/>
        </w:rPr>
        <w:t>j</w:t>
      </w:r>
      <w:r w:rsidR="002178C3">
        <w:rPr>
          <w:rFonts w:eastAsia="MS Mincho"/>
          <w:lang w:val="cs-CZ"/>
        </w:rPr>
        <w:t>sou osvobozeny</w:t>
      </w:r>
      <w:r w:rsidRPr="00415FCE">
        <w:rPr>
          <w:rFonts w:eastAsia="MS Mincho"/>
          <w:lang w:val="cs-CZ"/>
        </w:rPr>
        <w:t xml:space="preserve"> od daně bez nároku na odpočet daně na vstupu. V § 54 odst. 2 a 3 j</w:t>
      </w:r>
      <w:r w:rsidR="002A1A28">
        <w:rPr>
          <w:rFonts w:eastAsia="MS Mincho"/>
          <w:lang w:val="cs-CZ"/>
        </w:rPr>
        <w:t>sou vymezeny</w:t>
      </w:r>
      <w:r w:rsidRPr="00415FCE">
        <w:rPr>
          <w:rFonts w:eastAsia="MS Mincho"/>
          <w:lang w:val="cs-CZ"/>
        </w:rPr>
        <w:t xml:space="preserve"> podmínk</w:t>
      </w:r>
      <w:r w:rsidR="002A1A28">
        <w:rPr>
          <w:rFonts w:eastAsia="MS Mincho"/>
          <w:lang w:val="cs-CZ"/>
        </w:rPr>
        <w:t>y jejich osvobození.</w:t>
      </w:r>
      <w:r w:rsidRPr="00415FCE">
        <w:rPr>
          <w:rFonts w:eastAsia="MS Mincho"/>
          <w:lang w:val="cs-CZ"/>
        </w:rPr>
        <w:t xml:space="preserve"> </w:t>
      </w:r>
      <w:r w:rsidR="0073775B">
        <w:rPr>
          <w:rFonts w:eastAsia="MS Mincho"/>
          <w:lang w:val="cs-CZ"/>
        </w:rPr>
        <w:t>Ostatní finanční služby jsou zdaňovány.</w:t>
      </w:r>
    </w:p>
    <w:p w:rsidR="00F628CE" w:rsidRPr="00AF782F" w:rsidRDefault="00F628CE" w:rsidP="00F628CE">
      <w:pPr>
        <w:pStyle w:val="Nadpis1"/>
        <w:rPr>
          <w:lang w:val="cs-CZ"/>
        </w:rPr>
      </w:pPr>
      <w:bookmarkStart w:id="2" w:name="_Toc446669816"/>
      <w:r w:rsidRPr="00AF782F">
        <w:rPr>
          <w:lang w:val="cs-CZ"/>
        </w:rPr>
        <w:t>Přístup ke zdaňování finančních služeb ve světě</w:t>
      </w:r>
      <w:bookmarkEnd w:id="2"/>
    </w:p>
    <w:p w:rsidR="00F628CE" w:rsidRPr="005B07B6" w:rsidRDefault="005C2066" w:rsidP="00F628CE">
      <w:pPr>
        <w:rPr>
          <w:lang w:val="cs-CZ"/>
        </w:rPr>
      </w:pPr>
      <w:r>
        <w:rPr>
          <w:lang w:val="cs-CZ"/>
        </w:rPr>
        <w:t>Z</w:t>
      </w:r>
      <w:r w:rsidRPr="00AF782F">
        <w:rPr>
          <w:lang w:val="cs-CZ"/>
        </w:rPr>
        <w:t xml:space="preserve"> pohledu DPH </w:t>
      </w:r>
      <w:r>
        <w:rPr>
          <w:lang w:val="cs-CZ"/>
        </w:rPr>
        <w:t>je na</w:t>
      </w:r>
      <w:r w:rsidR="00AF782F" w:rsidRPr="00AF782F">
        <w:rPr>
          <w:lang w:val="cs-CZ"/>
        </w:rPr>
        <w:t xml:space="preserve"> f</w:t>
      </w:r>
      <w:r w:rsidR="00F628CE" w:rsidRPr="00AF782F">
        <w:rPr>
          <w:lang w:val="cs-CZ"/>
        </w:rPr>
        <w:t>inanční služb</w:t>
      </w:r>
      <w:r w:rsidR="00AF782F" w:rsidRPr="00AF782F">
        <w:rPr>
          <w:lang w:val="cs-CZ"/>
        </w:rPr>
        <w:t>y nahlíženo velmi rozdílně</w:t>
      </w:r>
      <w:r w:rsidR="00F628CE" w:rsidRPr="00AF782F">
        <w:rPr>
          <w:lang w:val="cs-CZ"/>
        </w:rPr>
        <w:t xml:space="preserve">. Ve většině </w:t>
      </w:r>
      <w:r w:rsidR="00AF782F">
        <w:rPr>
          <w:lang w:val="cs-CZ"/>
        </w:rPr>
        <w:t>mimoevropských a nečlenských zemích EU</w:t>
      </w:r>
      <w:r w:rsidR="00F628CE" w:rsidRPr="00AF782F">
        <w:rPr>
          <w:lang w:val="cs-CZ"/>
        </w:rPr>
        <w:t xml:space="preserve"> jsou vybrané finanční služby osvobozeny bez nároku na odpočet DPH</w:t>
      </w:r>
      <w:r w:rsidR="00AF782F">
        <w:rPr>
          <w:lang w:val="cs-CZ"/>
        </w:rPr>
        <w:t xml:space="preserve">, ostatní jsou zdaněny. </w:t>
      </w:r>
      <w:r w:rsidR="00F628CE" w:rsidRPr="00AF782F">
        <w:rPr>
          <w:lang w:val="cs-CZ"/>
        </w:rPr>
        <w:t xml:space="preserve">Okruh finančních služeb, </w:t>
      </w:r>
      <w:r w:rsidR="00AF782F">
        <w:rPr>
          <w:lang w:val="cs-CZ"/>
        </w:rPr>
        <w:t>jež podléhají jednomu či druhému režimu zdanění</w:t>
      </w:r>
      <w:r w:rsidR="00F628CE" w:rsidRPr="00AF782F">
        <w:rPr>
          <w:lang w:val="cs-CZ"/>
        </w:rPr>
        <w:t xml:space="preserve">, je v jednotlivých zemích rozdílně široký. </w:t>
      </w:r>
      <w:r w:rsidR="00AF782F">
        <w:rPr>
          <w:lang w:val="cs-CZ"/>
        </w:rPr>
        <w:t>Rovněž e</w:t>
      </w:r>
      <w:r w:rsidR="00F628CE" w:rsidRPr="00AF782F">
        <w:rPr>
          <w:lang w:val="cs-CZ"/>
        </w:rPr>
        <w:t xml:space="preserve">xistují </w:t>
      </w:r>
      <w:r w:rsidR="00037D51">
        <w:rPr>
          <w:lang w:val="cs-CZ"/>
        </w:rPr>
        <w:t>různé</w:t>
      </w:r>
      <w:r w:rsidR="00F628CE" w:rsidRPr="00AF782F">
        <w:rPr>
          <w:lang w:val="cs-CZ"/>
        </w:rPr>
        <w:t xml:space="preserve"> přístupy k</w:t>
      </w:r>
      <w:r w:rsidR="00AF782F">
        <w:rPr>
          <w:lang w:val="cs-CZ"/>
        </w:rPr>
        <w:t> této problematice</w:t>
      </w:r>
      <w:r w:rsidR="00F628CE" w:rsidRPr="00AF782F">
        <w:rPr>
          <w:lang w:val="cs-CZ"/>
        </w:rPr>
        <w:t xml:space="preserve"> v rámci transakcí business-to-</w:t>
      </w:r>
      <w:r w:rsidR="00F628CE" w:rsidRPr="005B07B6">
        <w:rPr>
          <w:lang w:val="cs-CZ"/>
        </w:rPr>
        <w:t>business (dále jen B2B)</w:t>
      </w:r>
      <w:r w:rsidR="00AF782F" w:rsidRPr="005B07B6">
        <w:rPr>
          <w:lang w:val="cs-CZ"/>
        </w:rPr>
        <w:t>, kdy může záležet na tom, zda je zákazník plátce DPH (pak jsou osvobozeny),</w:t>
      </w:r>
      <w:r w:rsidR="00F628CE" w:rsidRPr="005B07B6">
        <w:rPr>
          <w:lang w:val="cs-CZ"/>
        </w:rPr>
        <w:t xml:space="preserve"> a </w:t>
      </w:r>
      <w:r w:rsidR="00F628CE" w:rsidRPr="005B07B6">
        <w:t>business-to-consumer</w:t>
      </w:r>
      <w:r w:rsidR="00F628CE" w:rsidRPr="005B07B6">
        <w:rPr>
          <w:lang w:val="cs-CZ"/>
        </w:rPr>
        <w:t xml:space="preserve"> (dále jen B2C)</w:t>
      </w:r>
      <w:r w:rsidR="00AF782F" w:rsidRPr="005B07B6">
        <w:rPr>
          <w:lang w:val="cs-CZ"/>
        </w:rPr>
        <w:t>, kdy jsou tyto služby většinou zdaňovány.</w:t>
      </w:r>
    </w:p>
    <w:p w:rsidR="00F628CE" w:rsidRPr="00B63F7D" w:rsidRDefault="00F628CE" w:rsidP="00F628CE">
      <w:pPr>
        <w:rPr>
          <w:lang w:val="cs-CZ"/>
        </w:rPr>
      </w:pPr>
      <w:r w:rsidRPr="00E25F1D">
        <w:rPr>
          <w:lang w:val="cs-CZ"/>
        </w:rPr>
        <w:t>Například Singapur, Austrálie, Nový Zéland, Jižní Afrika a Indie mají osvobozeny tzv.</w:t>
      </w:r>
      <w:r w:rsidR="002239AC">
        <w:rPr>
          <w:lang w:val="cs-CZ"/>
        </w:rPr>
        <w:t> </w:t>
      </w:r>
      <w:r w:rsidRPr="00E25F1D">
        <w:rPr>
          <w:lang w:val="cs-CZ"/>
        </w:rPr>
        <w:t>maržové obchody</w:t>
      </w:r>
      <w:r w:rsidR="00AF782F" w:rsidRPr="00E25F1D">
        <w:rPr>
          <w:lang w:val="cs-CZ"/>
        </w:rPr>
        <w:t>, týkající se např. vkladů a výběrů finančních prostředků z účtu</w:t>
      </w:r>
      <w:r w:rsidRPr="00E25F1D">
        <w:rPr>
          <w:lang w:val="cs-CZ"/>
        </w:rPr>
        <w:t>. Neuplatněné odpočty vlivem osvobození bez nároku na odpočet jsou redukovány v podobě výjimek v Singapuru, Austrálii, Novém Zélandě, Indii a Kanadě nebo kompenz</w:t>
      </w:r>
      <w:r w:rsidR="00782D52" w:rsidRPr="00E25F1D">
        <w:rPr>
          <w:lang w:val="cs-CZ"/>
        </w:rPr>
        <w:t>ačních daní v</w:t>
      </w:r>
      <w:r w:rsidR="00E25F1D" w:rsidRPr="00E25F1D">
        <w:rPr>
          <w:lang w:val="cs-CZ"/>
        </w:rPr>
        <w:t> </w:t>
      </w:r>
      <w:r w:rsidR="00782D52" w:rsidRPr="00E25F1D">
        <w:rPr>
          <w:lang w:val="cs-CZ"/>
        </w:rPr>
        <w:t xml:space="preserve">Izraeli a </w:t>
      </w:r>
      <w:proofErr w:type="spellStart"/>
      <w:r w:rsidR="00782D52" w:rsidRPr="00B63F7D">
        <w:rPr>
          <w:lang w:val="cs-CZ"/>
        </w:rPr>
        <w:t>Quebecu</w:t>
      </w:r>
      <w:proofErr w:type="spellEnd"/>
      <w:r w:rsidR="00782D52" w:rsidRPr="00B63F7D">
        <w:rPr>
          <w:lang w:val="cs-CZ"/>
        </w:rPr>
        <w:t xml:space="preserve"> (Šindelář, 2010).</w:t>
      </w:r>
    </w:p>
    <w:p w:rsidR="00F628CE" w:rsidRPr="00E25F1D" w:rsidRDefault="00F628CE" w:rsidP="00F628CE">
      <w:pPr>
        <w:rPr>
          <w:lang w:val="cs-CZ"/>
        </w:rPr>
      </w:pPr>
      <w:r w:rsidRPr="00B63F7D">
        <w:rPr>
          <w:lang w:val="cs-CZ"/>
        </w:rPr>
        <w:t>Novozélandský model má problematiku finančních</w:t>
      </w:r>
      <w:r w:rsidRPr="00E25F1D">
        <w:rPr>
          <w:lang w:val="cs-CZ"/>
        </w:rPr>
        <w:t xml:space="preserve"> služeb řešenu zcela odlišně od</w:t>
      </w:r>
      <w:r w:rsidR="00E25F1D" w:rsidRPr="00E25F1D">
        <w:rPr>
          <w:lang w:val="cs-CZ"/>
        </w:rPr>
        <w:t> </w:t>
      </w:r>
      <w:r w:rsidR="00E25F1D">
        <w:rPr>
          <w:lang w:val="cs-CZ"/>
        </w:rPr>
        <w:t>evropského</w:t>
      </w:r>
      <w:r w:rsidRPr="00E25F1D">
        <w:rPr>
          <w:lang w:val="cs-CZ"/>
        </w:rPr>
        <w:t>. Zásadní reforma této oblasti byla provedena v roce 2005</w:t>
      </w:r>
      <w:r w:rsidR="00E25F1D">
        <w:rPr>
          <w:lang w:val="cs-CZ"/>
        </w:rPr>
        <w:t>, kdy byly jmenovitě vyčleněny</w:t>
      </w:r>
      <w:r w:rsidRPr="00E25F1D">
        <w:rPr>
          <w:lang w:val="cs-CZ"/>
        </w:rPr>
        <w:t xml:space="preserve"> finanční služb</w:t>
      </w:r>
      <w:r w:rsidR="00E25F1D">
        <w:rPr>
          <w:lang w:val="cs-CZ"/>
        </w:rPr>
        <w:t>y</w:t>
      </w:r>
      <w:r w:rsidRPr="00E25F1D">
        <w:rPr>
          <w:lang w:val="cs-CZ"/>
        </w:rPr>
        <w:t xml:space="preserve"> osvobozen</w:t>
      </w:r>
      <w:r w:rsidR="00E25F1D">
        <w:rPr>
          <w:lang w:val="cs-CZ"/>
        </w:rPr>
        <w:t>é</w:t>
      </w:r>
      <w:r w:rsidRPr="00E25F1D">
        <w:rPr>
          <w:lang w:val="cs-CZ"/>
        </w:rPr>
        <w:t xml:space="preserve"> od daně bez nároku na odpočet. Finanční instituce však mohou tyto služby zdanit nulovou sazbou, aniž by se jejich daň na vstupu krátila. Tento postup mohou uplatnit v rámci B2B transakcí, avšak jen za podmínky, že příjemce služby je </w:t>
      </w:r>
      <w:r w:rsidRPr="00E25F1D">
        <w:rPr>
          <w:lang w:val="cs-CZ"/>
        </w:rPr>
        <w:lastRenderedPageBreak/>
        <w:t xml:space="preserve">rovněž registrován jako plátce a současně jeho zdanitelná plnění představují alespoň 75 % jeho celkových dodávek. </w:t>
      </w:r>
      <w:r w:rsidR="00E25F1D">
        <w:rPr>
          <w:lang w:val="cs-CZ"/>
        </w:rPr>
        <w:t>Obdobný přístup existuje i v případě, že</w:t>
      </w:r>
      <w:r w:rsidRPr="00E25F1D">
        <w:rPr>
          <w:lang w:val="cs-CZ"/>
        </w:rPr>
        <w:t xml:space="preserve"> klientem je finanční instituce</w:t>
      </w:r>
      <w:r w:rsidR="00E25F1D">
        <w:rPr>
          <w:lang w:val="cs-CZ"/>
        </w:rPr>
        <w:t xml:space="preserve">. </w:t>
      </w:r>
      <w:r w:rsidR="000E3AC1">
        <w:rPr>
          <w:lang w:val="cs-CZ"/>
        </w:rPr>
        <w:t>F</w:t>
      </w:r>
      <w:r w:rsidRPr="00E25F1D">
        <w:rPr>
          <w:lang w:val="cs-CZ"/>
        </w:rPr>
        <w:t>inanční služb</w:t>
      </w:r>
      <w:r w:rsidR="000E3AC1">
        <w:rPr>
          <w:lang w:val="cs-CZ"/>
        </w:rPr>
        <w:t>y</w:t>
      </w:r>
      <w:r w:rsidRPr="00E25F1D">
        <w:rPr>
          <w:lang w:val="cs-CZ"/>
        </w:rPr>
        <w:t>, jež jsou poskytovány spotřebitelům v rámci transakcí B2C a podnikům v rámci transakcí B2B nesplňujícím 75 % kritérium, zůstává u poskytovatele osvobozen bez nároku na odpočet daně na vstupu. Při dovozu finančních služeb je využíván režim přenesené daňové povinnosti, kterým se kompenzuje nemožnost uplatnění odpočtu daně v</w:t>
      </w:r>
      <w:r w:rsidR="00500492">
        <w:rPr>
          <w:lang w:val="cs-CZ"/>
        </w:rPr>
        <w:t> </w:t>
      </w:r>
      <w:r w:rsidRPr="00B63F7D">
        <w:rPr>
          <w:lang w:val="cs-CZ"/>
        </w:rPr>
        <w:t>tuzemsku</w:t>
      </w:r>
      <w:r w:rsidR="00500492" w:rsidRPr="00B63F7D">
        <w:rPr>
          <w:lang w:val="cs-CZ"/>
        </w:rPr>
        <w:t xml:space="preserve"> (Schenk, 2009).</w:t>
      </w:r>
    </w:p>
    <w:p w:rsidR="00F628CE" w:rsidRPr="00D122FE" w:rsidRDefault="00D725D9" w:rsidP="00F628CE">
      <w:pPr>
        <w:rPr>
          <w:lang w:val="cs-CZ"/>
        </w:rPr>
      </w:pPr>
      <w:r w:rsidRPr="00D122FE">
        <w:rPr>
          <w:lang w:val="cs-CZ"/>
        </w:rPr>
        <w:t>Daň z přidané hodnoty</w:t>
      </w:r>
      <w:r w:rsidR="00F628CE" w:rsidRPr="00D122FE">
        <w:rPr>
          <w:lang w:val="cs-CZ"/>
        </w:rPr>
        <w:t xml:space="preserve"> byl</w:t>
      </w:r>
      <w:r w:rsidRPr="00D122FE">
        <w:rPr>
          <w:lang w:val="cs-CZ"/>
        </w:rPr>
        <w:t>a</w:t>
      </w:r>
      <w:r w:rsidR="00F628CE" w:rsidRPr="00D122FE">
        <w:rPr>
          <w:lang w:val="cs-CZ"/>
        </w:rPr>
        <w:t xml:space="preserve"> v Jižní Africe </w:t>
      </w:r>
      <w:r w:rsidR="00EF26E0">
        <w:rPr>
          <w:lang w:val="cs-CZ"/>
        </w:rPr>
        <w:t xml:space="preserve">(dále jen JAR) </w:t>
      </w:r>
      <w:r w:rsidR="00F628CE" w:rsidRPr="00D122FE">
        <w:rPr>
          <w:lang w:val="cs-CZ"/>
        </w:rPr>
        <w:t>zaveden</w:t>
      </w:r>
      <w:r w:rsidR="00D122FE">
        <w:rPr>
          <w:lang w:val="cs-CZ"/>
        </w:rPr>
        <w:t>a</w:t>
      </w:r>
      <w:r w:rsidR="00F628CE" w:rsidRPr="00D122FE">
        <w:rPr>
          <w:lang w:val="cs-CZ"/>
        </w:rPr>
        <w:t xml:space="preserve"> v roce 1991 s tím, že většina finančních služeb poskytovaných v tuzemsku byla osvobozena od daně bez nároku na</w:t>
      </w:r>
      <w:r w:rsidR="002239AC">
        <w:rPr>
          <w:lang w:val="cs-CZ"/>
        </w:rPr>
        <w:t> </w:t>
      </w:r>
      <w:r w:rsidR="00F628CE" w:rsidRPr="00D122FE">
        <w:rPr>
          <w:lang w:val="cs-CZ"/>
        </w:rPr>
        <w:t>odpočet daně a vyvážené finanční služby byly zdaněny nulovou sazbou s nárokem na</w:t>
      </w:r>
      <w:r w:rsidR="002239AC">
        <w:rPr>
          <w:lang w:val="cs-CZ"/>
        </w:rPr>
        <w:t> </w:t>
      </w:r>
      <w:r w:rsidR="00F628CE" w:rsidRPr="00D122FE">
        <w:rPr>
          <w:lang w:val="cs-CZ"/>
        </w:rPr>
        <w:t xml:space="preserve">odpočet daně. Od roku 1996 je seznam finančních služeb, který je osvobozen bez nároku na odpočet, např. maržové obchody, méně rozsáhlý. Naopak zdaňovány jsou všechny finanční služby založené na poplatku poskytované na domácím trhu. Na podobě seznamu spolupracovala daňová správa JAR a banky. Přesto docházelo v praxi k nejrůznějším sporům. V roce 2003 daňová správa JAR ve snaze zamezit těmto sporům vyvinula standardizovanou metodu rozdělení </w:t>
      </w:r>
      <w:r w:rsidR="00EF26E0">
        <w:rPr>
          <w:lang w:val="cs-CZ"/>
        </w:rPr>
        <w:t>DPH</w:t>
      </w:r>
      <w:r w:rsidR="00F628CE" w:rsidRPr="00D122FE">
        <w:rPr>
          <w:lang w:val="cs-CZ"/>
        </w:rPr>
        <w:t xml:space="preserve"> z podnikatelských vstupů ve vztahu ke zdaňovaným a osvobozeným bankovním službám na výstupu.</w:t>
      </w:r>
      <w:r w:rsidR="00EF26E0" w:rsidRPr="00EF26E0">
        <w:t xml:space="preserve"> </w:t>
      </w:r>
      <w:r w:rsidR="00EF26E0" w:rsidRPr="00EF26E0">
        <w:rPr>
          <w:lang w:val="cs-CZ"/>
        </w:rPr>
        <w:t>Poslední aktualizace seznamu finančních služeb byla provedena v roce 2006</w:t>
      </w:r>
      <w:r w:rsidR="00EF26E0">
        <w:rPr>
          <w:lang w:val="cs-CZ"/>
        </w:rPr>
        <w:t>.</w:t>
      </w:r>
    </w:p>
    <w:p w:rsidR="00F628CE" w:rsidRPr="00EF26E0" w:rsidRDefault="00F628CE" w:rsidP="00F628CE">
      <w:pPr>
        <w:rPr>
          <w:lang w:val="cs-CZ"/>
        </w:rPr>
      </w:pPr>
      <w:r w:rsidRPr="00EF26E0">
        <w:rPr>
          <w:lang w:val="cs-CZ"/>
        </w:rPr>
        <w:t xml:space="preserve">Singapur má zavedenu </w:t>
      </w:r>
      <w:r w:rsidR="00EF26E0" w:rsidRPr="00EF26E0">
        <w:rPr>
          <w:lang w:val="cs-CZ"/>
        </w:rPr>
        <w:t xml:space="preserve">DPH </w:t>
      </w:r>
      <w:r w:rsidRPr="00EF26E0">
        <w:rPr>
          <w:lang w:val="cs-CZ"/>
        </w:rPr>
        <w:t>od roku 1994. Finanční služby jsou obecně osvobozeny bez</w:t>
      </w:r>
      <w:r w:rsidR="00C6379B">
        <w:rPr>
          <w:lang w:val="cs-CZ"/>
        </w:rPr>
        <w:t> </w:t>
      </w:r>
      <w:r w:rsidRPr="00EF26E0">
        <w:rPr>
          <w:lang w:val="cs-CZ"/>
        </w:rPr>
        <w:t>nároku na odpočet. Pokud jsou poskytovány plátcům, je uplatňována nulová sazba a finanční instituce má nárok na odpočet. Některé finanční služby podléhající poplatkům včetně mnoha agenturních služeb jsou zdaněny. Tato varianta je také umožněna tím, že je v tomto státě uplatňována velmi nízká sazba</w:t>
      </w:r>
      <w:r w:rsidR="00EF26E0">
        <w:rPr>
          <w:lang w:val="cs-CZ"/>
        </w:rPr>
        <w:t xml:space="preserve"> DPH</w:t>
      </w:r>
      <w:r w:rsidRPr="00EF26E0">
        <w:rPr>
          <w:lang w:val="cs-CZ"/>
        </w:rPr>
        <w:t>, a to 7 %.</w:t>
      </w:r>
    </w:p>
    <w:p w:rsidR="00F628CE" w:rsidRPr="00B63F7D" w:rsidRDefault="00F628CE" w:rsidP="00F628CE">
      <w:pPr>
        <w:rPr>
          <w:lang w:val="cs-CZ"/>
        </w:rPr>
      </w:pPr>
      <w:r w:rsidRPr="00EF26E0">
        <w:rPr>
          <w:lang w:val="cs-CZ"/>
        </w:rPr>
        <w:t>Austrálie podstatně zúžila definici finančních služeb, a to ve vazbě na služby poskytované v režimu B2B nebo B2C transakcí. Některé z těchto služeb jsou osvobozeny od daně bez</w:t>
      </w:r>
      <w:r w:rsidR="00C47432">
        <w:rPr>
          <w:lang w:val="cs-CZ"/>
        </w:rPr>
        <w:t> </w:t>
      </w:r>
      <w:r w:rsidRPr="00EF26E0">
        <w:rPr>
          <w:lang w:val="cs-CZ"/>
        </w:rPr>
        <w:t>nároku na odpočet. Osvobození "</w:t>
      </w:r>
      <w:r w:rsidRPr="00EF26E0">
        <w:rPr>
          <w:i/>
          <w:lang w:val="cs-CZ"/>
        </w:rPr>
        <w:t>je omezeno na hlavní finanční transakce, jako je např. půjčování peněz.</w:t>
      </w:r>
      <w:r w:rsidRPr="00EF26E0">
        <w:rPr>
          <w:lang w:val="cs-CZ"/>
        </w:rPr>
        <w:t>". Ostatní finanční služby, včetně finančních služeb založených na poplatku, jsou zdaněny. Existuje však pravidlo de </w:t>
      </w:r>
      <w:proofErr w:type="spellStart"/>
      <w:r w:rsidRPr="00EF26E0">
        <w:rPr>
          <w:lang w:val="cs-CZ"/>
        </w:rPr>
        <w:t>minimis</w:t>
      </w:r>
      <w:proofErr w:type="spellEnd"/>
      <w:r w:rsidRPr="00EF26E0">
        <w:rPr>
          <w:lang w:val="cs-CZ"/>
        </w:rPr>
        <w:t>, v rámci něhož jsou poplatky osvobozeny od</w:t>
      </w:r>
      <w:r w:rsidR="00C47432">
        <w:rPr>
          <w:lang w:val="cs-CZ"/>
        </w:rPr>
        <w:t> daně</w:t>
      </w:r>
      <w:r w:rsidRPr="00EF26E0">
        <w:rPr>
          <w:lang w:val="cs-CZ"/>
        </w:rPr>
        <w:t>, pokud jsou pod stanoveným limitem. Australsk</w:t>
      </w:r>
      <w:r w:rsidR="00C47432">
        <w:rPr>
          <w:lang w:val="cs-CZ"/>
        </w:rPr>
        <w:t>á DPH</w:t>
      </w:r>
      <w:r w:rsidRPr="00EF26E0">
        <w:rPr>
          <w:lang w:val="cs-CZ"/>
        </w:rPr>
        <w:t xml:space="preserve"> obsahuje rovněž kompenzační pravidla, jimiž je možné získat část neuplatněné daně na vstupu z titulu osvobozených výstupů (finančních služeb) zpět. Osoba registrovaná k</w:t>
      </w:r>
      <w:r w:rsidR="00C47432">
        <w:rPr>
          <w:lang w:val="cs-CZ"/>
        </w:rPr>
        <w:t xml:space="preserve"> dani</w:t>
      </w:r>
      <w:r w:rsidRPr="00EF26E0">
        <w:rPr>
          <w:lang w:val="cs-CZ"/>
        </w:rPr>
        <w:t xml:space="preserve">, která realizuje pouze omezené množství </w:t>
      </w:r>
      <w:r w:rsidR="00C47432" w:rsidRPr="00EF26E0">
        <w:rPr>
          <w:lang w:val="cs-CZ"/>
        </w:rPr>
        <w:t xml:space="preserve">osvobozených </w:t>
      </w:r>
      <w:r w:rsidRPr="00EF26E0">
        <w:rPr>
          <w:lang w:val="cs-CZ"/>
        </w:rPr>
        <w:t>finančních služeb, může nárokovat vratky daně na vstupu z nákupů připadajících na tyto osvobozené finanční služby, pokud hodnota těchto nákupů nepřekračuje tzv. "</w:t>
      </w:r>
      <w:r w:rsidRPr="00EF26E0">
        <w:rPr>
          <w:i/>
          <w:lang w:val="cs-CZ"/>
        </w:rPr>
        <w:t>limit finanční akvizice</w:t>
      </w:r>
      <w:r w:rsidRPr="00EF26E0">
        <w:rPr>
          <w:lang w:val="cs-CZ"/>
        </w:rPr>
        <w:t>". Ten činí 150 tis. $ za  dvanáct měsíců. Finanční instituce registrované k</w:t>
      </w:r>
      <w:r w:rsidR="00C47432">
        <w:rPr>
          <w:lang w:val="cs-CZ"/>
        </w:rPr>
        <w:t xml:space="preserve"> dani</w:t>
      </w:r>
      <w:r w:rsidRPr="00EF26E0">
        <w:rPr>
          <w:lang w:val="cs-CZ"/>
        </w:rPr>
        <w:t xml:space="preserve"> si mohou nárokovat 75 % odpočtu daně na vstupu, které jsou způsobilé jako "</w:t>
      </w:r>
      <w:r w:rsidRPr="00EF26E0">
        <w:rPr>
          <w:i/>
          <w:lang w:val="cs-CZ"/>
        </w:rPr>
        <w:t>zlevněné kreditní akvizice</w:t>
      </w:r>
      <w:r w:rsidRPr="00EF26E0">
        <w:rPr>
          <w:lang w:val="cs-CZ"/>
        </w:rPr>
        <w:t xml:space="preserve">". Například, pokud banka zakoupí psací potřeby od externího dodavatele a zaplatí v ceně nákupu </w:t>
      </w:r>
      <w:r w:rsidR="00C47432">
        <w:rPr>
          <w:lang w:val="cs-CZ"/>
        </w:rPr>
        <w:t>DPH</w:t>
      </w:r>
      <w:r w:rsidRPr="00EF26E0">
        <w:rPr>
          <w:lang w:val="cs-CZ"/>
        </w:rPr>
        <w:t xml:space="preserve"> ve výši 10 tis. $, může požadovat vratku 75 % z této částky, tj. 7 500 </w:t>
      </w:r>
      <w:r w:rsidRPr="00B63F7D">
        <w:rPr>
          <w:lang w:val="cs-CZ"/>
        </w:rPr>
        <w:t>$</w:t>
      </w:r>
      <w:r w:rsidR="00C47432" w:rsidRPr="00B63F7D">
        <w:rPr>
          <w:lang w:val="cs-CZ"/>
        </w:rPr>
        <w:t xml:space="preserve"> (Schenk, 2009).</w:t>
      </w:r>
    </w:p>
    <w:p w:rsidR="00F628CE" w:rsidRPr="00B63F7D" w:rsidRDefault="00F628CE" w:rsidP="00265034">
      <w:pPr>
        <w:pStyle w:val="Nadpis1"/>
        <w:rPr>
          <w:lang w:val="cs-CZ"/>
        </w:rPr>
      </w:pPr>
      <w:bookmarkStart w:id="3" w:name="_Toc446669817"/>
      <w:r w:rsidRPr="00B63F7D">
        <w:rPr>
          <w:lang w:val="cs-CZ"/>
        </w:rPr>
        <w:t>Jiný způsob zdanění finančních institucí</w:t>
      </w:r>
      <w:bookmarkEnd w:id="3"/>
    </w:p>
    <w:p w:rsidR="00F628CE" w:rsidRPr="007E0831" w:rsidRDefault="00F628CE" w:rsidP="00265034">
      <w:pPr>
        <w:rPr>
          <w:lang w:val="cs-CZ"/>
        </w:rPr>
      </w:pPr>
      <w:r w:rsidRPr="00C47432">
        <w:rPr>
          <w:lang w:val="cs-CZ"/>
        </w:rPr>
        <w:t>Jiný přístup ke zdaňování finančních služeb DPH je vysvětlován jejich zvláštnostmi. Na jedné straně existují explicitní poplatky a provize, které lze bezproblémově zdaňovat DPH jako například v J</w:t>
      </w:r>
      <w:r w:rsidR="00C47432" w:rsidRPr="00C47432">
        <w:rPr>
          <w:lang w:val="cs-CZ"/>
        </w:rPr>
        <w:t>AR</w:t>
      </w:r>
      <w:r w:rsidRPr="00C47432">
        <w:rPr>
          <w:lang w:val="cs-CZ"/>
        </w:rPr>
        <w:t xml:space="preserve">, na straně druhé se jedná o implicitní poplatky ve formě rozpětí, tj. na bázi marže (maržové obchody). A právě u nich dochází údajně k problémům se zdaněním. Nutnost dělení </w:t>
      </w:r>
      <w:r w:rsidR="007E0831">
        <w:rPr>
          <w:lang w:val="cs-CZ"/>
        </w:rPr>
        <w:t xml:space="preserve">transakcí </w:t>
      </w:r>
      <w:r w:rsidRPr="00C47432">
        <w:rPr>
          <w:lang w:val="cs-CZ"/>
        </w:rPr>
        <w:t xml:space="preserve">mezi věřitele (vklad) a dlužníka (úvěr) vyplývá </w:t>
      </w:r>
      <w:r w:rsidR="007E0831">
        <w:rPr>
          <w:lang w:val="cs-CZ"/>
        </w:rPr>
        <w:t xml:space="preserve">totiž </w:t>
      </w:r>
      <w:r w:rsidRPr="00C47432">
        <w:rPr>
          <w:lang w:val="cs-CZ"/>
        </w:rPr>
        <w:t>z principu výpočtu daňové po</w:t>
      </w:r>
      <w:r w:rsidR="007E0831">
        <w:rPr>
          <w:lang w:val="cs-CZ"/>
        </w:rPr>
        <w:t>vinnosti DPH v praxi všech zemí. Jedná se o</w:t>
      </w:r>
      <w:r w:rsidRPr="00C47432">
        <w:rPr>
          <w:lang w:val="cs-CZ"/>
        </w:rPr>
        <w:t xml:space="preserve"> nepřím</w:t>
      </w:r>
      <w:r w:rsidR="007E0831">
        <w:rPr>
          <w:lang w:val="cs-CZ"/>
        </w:rPr>
        <w:t>ou</w:t>
      </w:r>
      <w:r w:rsidRPr="00C47432">
        <w:rPr>
          <w:lang w:val="cs-CZ"/>
        </w:rPr>
        <w:t xml:space="preserve"> rozdílov</w:t>
      </w:r>
      <w:r w:rsidR="007E0831">
        <w:rPr>
          <w:lang w:val="cs-CZ"/>
        </w:rPr>
        <w:t>ou</w:t>
      </w:r>
      <w:r w:rsidRPr="00C47432">
        <w:rPr>
          <w:lang w:val="cs-CZ"/>
        </w:rPr>
        <w:t xml:space="preserve"> metod</w:t>
      </w:r>
      <w:r w:rsidR="007E0831">
        <w:rPr>
          <w:lang w:val="cs-CZ"/>
        </w:rPr>
        <w:t>u</w:t>
      </w:r>
      <w:r w:rsidRPr="00C47432">
        <w:rPr>
          <w:lang w:val="cs-CZ"/>
        </w:rPr>
        <w:t xml:space="preserve"> mezi daní na </w:t>
      </w:r>
      <w:r w:rsidRPr="007E0831">
        <w:rPr>
          <w:lang w:val="cs-CZ"/>
        </w:rPr>
        <w:t>výstupu a na vstupu</w:t>
      </w:r>
      <w:r w:rsidR="007E0831" w:rsidRPr="007E0831">
        <w:rPr>
          <w:lang w:val="cs-CZ"/>
        </w:rPr>
        <w:t xml:space="preserve"> za zdaňovací období</w:t>
      </w:r>
      <w:r>
        <w:t xml:space="preserve">. </w:t>
      </w:r>
      <w:r w:rsidRPr="007E0831">
        <w:rPr>
          <w:lang w:val="cs-CZ"/>
        </w:rPr>
        <w:t xml:space="preserve">Vzhledem k tomu, že marže jako taková </w:t>
      </w:r>
      <w:r w:rsidRPr="007E0831">
        <w:rPr>
          <w:lang w:val="cs-CZ"/>
        </w:rPr>
        <w:lastRenderedPageBreak/>
        <w:t xml:space="preserve">představuje přidanou hodnotu, neměl by být problém tento přístup změnit a </w:t>
      </w:r>
      <w:r w:rsidR="00C6379B" w:rsidRPr="007E0831">
        <w:rPr>
          <w:lang w:val="cs-CZ"/>
        </w:rPr>
        <w:t xml:space="preserve">daňovou povinnost </w:t>
      </w:r>
      <w:r w:rsidRPr="007E0831">
        <w:rPr>
          <w:lang w:val="cs-CZ"/>
        </w:rPr>
        <w:t>DPH počítat tzv. součtovou (důchodovou) metodou.</w:t>
      </w:r>
    </w:p>
    <w:p w:rsidR="00F628CE" w:rsidRPr="007E0831" w:rsidRDefault="007E0831" w:rsidP="00265034">
      <w:pPr>
        <w:rPr>
          <w:lang w:val="cs-CZ"/>
        </w:rPr>
      </w:pPr>
      <w:r w:rsidRPr="007E0831">
        <w:rPr>
          <w:lang w:val="cs-CZ"/>
        </w:rPr>
        <w:t>Vzhledem k tomu, že přidané hodnota finančního sektoru ve vztahu k HDP je v řadě zemí velmi vysoká a v rámci sektorů hospodářství v jednotlivých zemích patří k nejvyšším, je zřejmé, p</w:t>
      </w:r>
      <w:r w:rsidR="00F628CE" w:rsidRPr="007E0831">
        <w:rPr>
          <w:lang w:val="cs-CZ"/>
        </w:rPr>
        <w:t>roč by měly být finanční služby co nejvíce zdaněny DPH</w:t>
      </w:r>
      <w:r w:rsidRPr="007E0831">
        <w:rPr>
          <w:lang w:val="cs-CZ"/>
        </w:rPr>
        <w:t>. Srovnání</w:t>
      </w:r>
      <w:r w:rsidR="00F628CE" w:rsidRPr="007E0831">
        <w:rPr>
          <w:lang w:val="cs-CZ"/>
        </w:rPr>
        <w:t xml:space="preserve"> je zřejmé z</w:t>
      </w:r>
      <w:r>
        <w:rPr>
          <w:lang w:val="cs-CZ"/>
        </w:rPr>
        <w:t> </w:t>
      </w:r>
      <w:r w:rsidR="001E0CF4">
        <w:rPr>
          <w:lang w:val="cs-CZ"/>
        </w:rPr>
        <w:t>obrázku</w:t>
      </w:r>
      <w:r>
        <w:rPr>
          <w:lang w:val="cs-CZ"/>
        </w:rPr>
        <w:t xml:space="preserve"> 1</w:t>
      </w:r>
      <w:r w:rsidR="00F628CE" w:rsidRPr="007E0831">
        <w:rPr>
          <w:lang w:val="cs-CZ"/>
        </w:rPr>
        <w:t>. Je v něm znázorněn podíl přidané hodnoty finančního sektoru na HDP v</w:t>
      </w:r>
      <w:r w:rsidR="005B150A">
        <w:rPr>
          <w:lang w:val="cs-CZ"/>
        </w:rPr>
        <w:t> </w:t>
      </w:r>
      <w:r w:rsidR="00F628CE" w:rsidRPr="007E0831">
        <w:rPr>
          <w:lang w:val="cs-CZ"/>
        </w:rPr>
        <w:t>jednotlivých zemích OECD v roce 2012. Pohybuje se od 27,5 % v Mexiku do 79,7 % v Rakousku. ČR je úrovní ukazatele 46,5 % zhruba uprostřed. Ve srovnání s ostatními sektory je tento podíl na HDP nejvyšší zejména v zemích, jejichž ukazatel je vyšší než v ČR.</w:t>
      </w:r>
    </w:p>
    <w:p w:rsidR="00F628CE" w:rsidRPr="007E0831" w:rsidRDefault="001E0CF4" w:rsidP="00265034">
      <w:pPr>
        <w:rPr>
          <w:b/>
          <w:lang w:val="cs-CZ"/>
        </w:rPr>
      </w:pPr>
      <w:bookmarkStart w:id="4" w:name="_Toc446667720"/>
      <w:r>
        <w:rPr>
          <w:b/>
          <w:lang w:val="cs-CZ"/>
        </w:rPr>
        <w:t xml:space="preserve">Obrázek 1: </w:t>
      </w:r>
      <w:r w:rsidR="00F628CE" w:rsidRPr="007E0831">
        <w:rPr>
          <w:b/>
          <w:lang w:val="cs-CZ"/>
        </w:rPr>
        <w:t xml:space="preserve">Přidaná hodnota ve finančních institucích v zemích </w:t>
      </w:r>
      <w:r>
        <w:rPr>
          <w:b/>
          <w:lang w:val="cs-CZ"/>
        </w:rPr>
        <w:t xml:space="preserve">OECD </w:t>
      </w:r>
      <w:r w:rsidR="00F628CE" w:rsidRPr="007E0831">
        <w:rPr>
          <w:b/>
          <w:lang w:val="cs-CZ"/>
        </w:rPr>
        <w:t>v roce 2012 v % z HDP</w:t>
      </w:r>
      <w:bookmarkEnd w:id="4"/>
    </w:p>
    <w:p w:rsidR="001E0CF4" w:rsidRDefault="00265034" w:rsidP="000D02BC">
      <w:pPr>
        <w:jc w:val="center"/>
        <w:rPr>
          <w:rFonts w:eastAsia="MS Mincho"/>
          <w:sz w:val="20"/>
          <w:szCs w:val="20"/>
          <w:lang w:val="cs-CZ"/>
        </w:rPr>
      </w:pPr>
      <w:r w:rsidRPr="00265034">
        <w:rPr>
          <w:noProof/>
          <w:lang w:val="cs-CZ" w:eastAsia="cs-CZ"/>
        </w:rPr>
        <w:drawing>
          <wp:inline distT="0" distB="0" distL="0" distR="0" wp14:anchorId="145D6378" wp14:editId="5DBDB248">
            <wp:extent cx="5478779" cy="2484120"/>
            <wp:effectExtent l="0" t="0" r="825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0475" cy="2484889"/>
                    </a:xfrm>
                    <a:prstGeom prst="rect">
                      <a:avLst/>
                    </a:prstGeom>
                    <a:noFill/>
                  </pic:spPr>
                </pic:pic>
              </a:graphicData>
            </a:graphic>
          </wp:inline>
        </w:drawing>
      </w:r>
    </w:p>
    <w:p w:rsidR="00265034" w:rsidRPr="00265034" w:rsidRDefault="001E0CF4" w:rsidP="001E0CF4">
      <w:pPr>
        <w:jc w:val="right"/>
        <w:rPr>
          <w:rFonts w:cs="Courier New"/>
          <w:i/>
          <w:sz w:val="20"/>
          <w:szCs w:val="20"/>
          <w:lang w:val="cs-CZ" w:eastAsia="cs-CZ"/>
        </w:rPr>
      </w:pPr>
      <w:r>
        <w:rPr>
          <w:rFonts w:eastAsia="MS Mincho"/>
          <w:sz w:val="20"/>
          <w:szCs w:val="20"/>
          <w:lang w:val="cs-CZ"/>
        </w:rPr>
        <w:t xml:space="preserve">Zdroj: </w:t>
      </w:r>
      <w:r>
        <w:rPr>
          <w:rFonts w:cs="Courier New"/>
          <w:sz w:val="20"/>
          <w:szCs w:val="20"/>
          <w:lang w:val="cs-CZ" w:eastAsia="cs-CZ"/>
        </w:rPr>
        <w:t xml:space="preserve">OECD, </w:t>
      </w:r>
      <w:r>
        <w:rPr>
          <w:rFonts w:cs="Courier New"/>
          <w:sz w:val="20"/>
          <w:szCs w:val="20"/>
          <w:lang w:val="en" w:eastAsia="cs-CZ"/>
        </w:rPr>
        <w:t>2015.</w:t>
      </w:r>
    </w:p>
    <w:p w:rsidR="00265034" w:rsidRPr="00265034" w:rsidRDefault="00265034" w:rsidP="00265034">
      <w:pPr>
        <w:rPr>
          <w:lang w:val="cs-CZ" w:eastAsia="cs-CZ"/>
        </w:rPr>
      </w:pPr>
      <w:r w:rsidRPr="00265034">
        <w:rPr>
          <w:lang w:val="cs-CZ" w:eastAsia="cs-CZ"/>
        </w:rPr>
        <w:t>V rámci regulačních reforem finančního sektoru doporučil v roce 2010 M</w:t>
      </w:r>
      <w:r w:rsidR="001E0CF4">
        <w:rPr>
          <w:lang w:val="cs-CZ" w:eastAsia="cs-CZ"/>
        </w:rPr>
        <w:t xml:space="preserve">ezinárodní měnový fond </w:t>
      </w:r>
      <w:r w:rsidRPr="00265034">
        <w:rPr>
          <w:lang w:val="cs-CZ" w:eastAsia="cs-CZ"/>
        </w:rPr>
        <w:t xml:space="preserve">zavedení daně z finančních </w:t>
      </w:r>
      <w:r w:rsidR="005B150A">
        <w:rPr>
          <w:lang w:val="cs-CZ" w:eastAsia="cs-CZ"/>
        </w:rPr>
        <w:t>aktivit</w:t>
      </w:r>
      <w:r w:rsidRPr="00265034">
        <w:rPr>
          <w:lang w:val="cs-CZ" w:eastAsia="cs-CZ"/>
        </w:rPr>
        <w:t xml:space="preserve"> (</w:t>
      </w:r>
      <w:r w:rsidR="009A08DB">
        <w:rPr>
          <w:lang w:val="cs-CZ" w:eastAsia="cs-CZ"/>
        </w:rPr>
        <w:t>dále jen FAT</w:t>
      </w:r>
      <w:r w:rsidRPr="00B63F7D">
        <w:rPr>
          <w:lang w:val="cs-CZ" w:eastAsia="cs-CZ"/>
        </w:rPr>
        <w:t xml:space="preserve">). Zpráva </w:t>
      </w:r>
      <w:r w:rsidR="001E0CF4" w:rsidRPr="00B63F7D">
        <w:rPr>
          <w:lang w:val="cs-CZ" w:eastAsia="cs-CZ"/>
        </w:rPr>
        <w:t>(IMF, 2010)</w:t>
      </w:r>
      <w:r w:rsidRPr="00B63F7D">
        <w:rPr>
          <w:lang w:val="cs-CZ" w:eastAsia="cs-CZ"/>
        </w:rPr>
        <w:t xml:space="preserve"> se zmiňuje o</w:t>
      </w:r>
      <w:r w:rsidR="009A08DB" w:rsidRPr="00B63F7D">
        <w:rPr>
          <w:lang w:val="cs-CZ" w:eastAsia="cs-CZ"/>
        </w:rPr>
        <w:t> </w:t>
      </w:r>
      <w:r w:rsidRPr="00B63F7D">
        <w:rPr>
          <w:lang w:val="cs-CZ" w:eastAsia="cs-CZ"/>
        </w:rPr>
        <w:t>třech verzích FAT, a to ve formě zdanění objemu mezd a zisků finančních institucí</w:t>
      </w:r>
      <w:r w:rsidR="009A08DB">
        <w:rPr>
          <w:lang w:val="cs-CZ" w:eastAsia="cs-CZ"/>
        </w:rPr>
        <w:t xml:space="preserve"> (důchodový typ DPH)</w:t>
      </w:r>
      <w:r w:rsidRPr="00265034">
        <w:rPr>
          <w:lang w:val="cs-CZ" w:eastAsia="cs-CZ"/>
        </w:rPr>
        <w:t>, dále ve formě zdanění „renty“ v podobě nadměrných mezd a zisků a ve formě zdanění výnosů vysoce rizikových finančních aktivit přesahujících stanovenou mez.</w:t>
      </w:r>
    </w:p>
    <w:p w:rsidR="00265034" w:rsidRPr="00B63F7D" w:rsidRDefault="00265034" w:rsidP="00265034">
      <w:pPr>
        <w:rPr>
          <w:lang w:val="cs-CZ" w:eastAsia="cs-CZ"/>
        </w:rPr>
      </w:pPr>
      <w:r w:rsidRPr="00265034">
        <w:rPr>
          <w:lang w:val="cs-CZ" w:eastAsia="cs-CZ"/>
        </w:rPr>
        <w:t>Pro potřeby t</w:t>
      </w:r>
      <w:r w:rsidR="009A08DB">
        <w:rPr>
          <w:lang w:val="cs-CZ" w:eastAsia="cs-CZ"/>
        </w:rPr>
        <w:t>ohoto příspěvku</w:t>
      </w:r>
      <w:r w:rsidRPr="00265034">
        <w:rPr>
          <w:lang w:val="cs-CZ" w:eastAsia="cs-CZ"/>
        </w:rPr>
        <w:t xml:space="preserve"> se postačí zabývat pouze první formou, tj. zdaněním objemu mezd a zisku finančních institucí</w:t>
      </w:r>
      <w:r w:rsidRPr="001E0CF4">
        <w:rPr>
          <w:lang w:val="cs-CZ" w:eastAsia="cs-CZ"/>
        </w:rPr>
        <w:t>.</w:t>
      </w:r>
      <w:r w:rsidRPr="00265034">
        <w:rPr>
          <w:lang w:val="cs-CZ" w:eastAsia="cs-CZ"/>
        </w:rPr>
        <w:t xml:space="preserve"> Tato varianta se používá </w:t>
      </w:r>
      <w:r w:rsidR="009A08DB">
        <w:rPr>
          <w:lang w:val="cs-CZ" w:eastAsia="cs-CZ"/>
        </w:rPr>
        <w:t xml:space="preserve">jako náhrada daňových výnosů </w:t>
      </w:r>
      <w:r w:rsidRPr="00265034">
        <w:rPr>
          <w:lang w:val="cs-CZ" w:eastAsia="cs-CZ"/>
        </w:rPr>
        <w:t>v mnoha zemích právě z důvodu osvobození finančních služeb od</w:t>
      </w:r>
      <w:r w:rsidR="009A08DB">
        <w:rPr>
          <w:lang w:val="cs-CZ" w:eastAsia="cs-CZ"/>
        </w:rPr>
        <w:t> </w:t>
      </w:r>
      <w:r w:rsidRPr="00265034">
        <w:rPr>
          <w:lang w:val="cs-CZ" w:eastAsia="cs-CZ"/>
        </w:rPr>
        <w:t xml:space="preserve">DPH. Například v Dánsku tato daň ze mzdy u finančních institucí činila 10,5 %, v roce 2015 se zvýšila na 12,2 % a v roce 2021 má dosáhnout 15,3 % z mezd. Celkový výnos daně se pohybuje v rozmezí 0,25 - 0,3 % HDP. Finanční instituce v Izraeli platí FAT ze součtu vyplacených mezd a vyměřovacího základu pro daň z příjmů </w:t>
      </w:r>
      <w:r w:rsidRPr="00B63F7D">
        <w:rPr>
          <w:lang w:val="cs-CZ" w:eastAsia="cs-CZ"/>
        </w:rPr>
        <w:t>právnických osob, přičemž sazba je stanovena ve</w:t>
      </w:r>
      <w:r w:rsidR="009A08DB" w:rsidRPr="00B63F7D">
        <w:rPr>
          <w:lang w:val="cs-CZ" w:eastAsia="cs-CZ"/>
        </w:rPr>
        <w:t> </w:t>
      </w:r>
      <w:r w:rsidRPr="00B63F7D">
        <w:rPr>
          <w:lang w:val="cs-CZ" w:eastAsia="cs-CZ"/>
        </w:rPr>
        <w:t>výši 16 %, tedy ve stejné výši jako základní sazba DPH</w:t>
      </w:r>
      <w:r w:rsidR="009A08DB" w:rsidRPr="00B63F7D">
        <w:rPr>
          <w:lang w:val="cs-CZ" w:eastAsia="cs-CZ"/>
        </w:rPr>
        <w:t xml:space="preserve"> (</w:t>
      </w:r>
      <w:proofErr w:type="spellStart"/>
      <w:r w:rsidR="009A08DB" w:rsidRPr="00B63F7D">
        <w:rPr>
          <w:lang w:val="cs-CZ" w:eastAsia="cs-CZ"/>
        </w:rPr>
        <w:t>Claessens</w:t>
      </w:r>
      <w:proofErr w:type="spellEnd"/>
      <w:r w:rsidR="009A08DB" w:rsidRPr="00B63F7D">
        <w:rPr>
          <w:lang w:val="cs-CZ" w:eastAsia="cs-CZ"/>
        </w:rPr>
        <w:t>, 2010)</w:t>
      </w:r>
      <w:r w:rsidRPr="00B63F7D">
        <w:rPr>
          <w:lang w:val="cs-CZ" w:eastAsia="cs-CZ"/>
        </w:rPr>
        <w:t>. Téměř všechny členské státy EU zavedly i jiné daně na finanční služby, přičemž ne všechny jsou kompenzací za osvobození finančních činností od DPH</w:t>
      </w:r>
      <w:r w:rsidR="0063689C" w:rsidRPr="00B63F7D">
        <w:rPr>
          <w:lang w:val="cs-CZ" w:eastAsia="cs-CZ"/>
        </w:rPr>
        <w:t xml:space="preserve"> (Delacroix, 2011)</w:t>
      </w:r>
      <w:r w:rsidRPr="00B63F7D">
        <w:rPr>
          <w:lang w:val="cs-CZ" w:eastAsia="cs-CZ"/>
        </w:rPr>
        <w:t>.</w:t>
      </w:r>
    </w:p>
    <w:p w:rsidR="00265034" w:rsidRPr="00B63F7D" w:rsidRDefault="00265034" w:rsidP="00265034">
      <w:pPr>
        <w:rPr>
          <w:lang w:val="cs-CZ" w:eastAsia="cs-CZ"/>
        </w:rPr>
      </w:pPr>
      <w:r w:rsidRPr="00B63F7D">
        <w:rPr>
          <w:lang w:val="cs-CZ" w:eastAsia="cs-CZ"/>
        </w:rPr>
        <w:t xml:space="preserve">Alternativou zdanění finančního sektoru je </w:t>
      </w:r>
      <w:r w:rsidR="007C03E7" w:rsidRPr="00B63F7D">
        <w:rPr>
          <w:lang w:val="cs-CZ" w:eastAsia="cs-CZ"/>
        </w:rPr>
        <w:t xml:space="preserve">rovněž </w:t>
      </w:r>
      <w:r w:rsidRPr="00B63F7D">
        <w:rPr>
          <w:lang w:val="cs-CZ" w:eastAsia="cs-CZ"/>
        </w:rPr>
        <w:t xml:space="preserve">zavedení daně z finančních transakcí </w:t>
      </w:r>
      <w:r w:rsidR="007C03E7" w:rsidRPr="00B63F7D">
        <w:rPr>
          <w:lang w:val="cs-CZ" w:eastAsia="cs-CZ"/>
        </w:rPr>
        <w:t>(dále jen FTT)</w:t>
      </w:r>
      <w:r w:rsidRPr="00B63F7D">
        <w:rPr>
          <w:lang w:val="cs-CZ" w:eastAsia="cs-CZ"/>
        </w:rPr>
        <w:t>. Evropská komise ji představila v roce 2010 a po diskusi ji přijala</w:t>
      </w:r>
      <w:r w:rsidRPr="00B63F7D">
        <w:rPr>
          <w:bCs/>
          <w:lang w:val="cs-CZ" w:eastAsia="cs-CZ"/>
        </w:rPr>
        <w:t xml:space="preserve"> 28. září 2011 v podobě návrhu </w:t>
      </w:r>
      <w:r w:rsidR="00987928" w:rsidRPr="00B63F7D">
        <w:rPr>
          <w:bCs/>
          <w:lang w:val="cs-CZ" w:eastAsia="cs-CZ"/>
        </w:rPr>
        <w:t>S</w:t>
      </w:r>
      <w:r w:rsidRPr="00B63F7D">
        <w:rPr>
          <w:bCs/>
          <w:lang w:val="cs-CZ" w:eastAsia="cs-CZ"/>
        </w:rPr>
        <w:t>měrnice o společném systému daně z finančních transakcí s účinností od 1. ledna 2014. Předmětem této daně jsou transakce s finančními nástroji mezi finančními institucemi, pokud je alespoň jedna ze stran transakce usazena v</w:t>
      </w:r>
      <w:r w:rsidR="00987928" w:rsidRPr="00B63F7D">
        <w:rPr>
          <w:bCs/>
          <w:lang w:val="cs-CZ" w:eastAsia="cs-CZ"/>
        </w:rPr>
        <w:t xml:space="preserve"> zemi </w:t>
      </w:r>
      <w:r w:rsidRPr="00B63F7D">
        <w:rPr>
          <w:bCs/>
          <w:lang w:val="cs-CZ" w:eastAsia="cs-CZ"/>
        </w:rPr>
        <w:t xml:space="preserve">EU. </w:t>
      </w:r>
      <w:r w:rsidRPr="00B63F7D">
        <w:rPr>
          <w:lang w:val="cs-CZ" w:eastAsia="cs-CZ"/>
        </w:rPr>
        <w:t xml:space="preserve">K zavedení této daně se přihlásilo 11 členských zemí EU (Německo, Francie, Španělsko, Belgie, Estonsko, </w:t>
      </w:r>
      <w:r w:rsidRPr="00B63F7D">
        <w:rPr>
          <w:lang w:val="cs-CZ" w:eastAsia="cs-CZ"/>
        </w:rPr>
        <w:lastRenderedPageBreak/>
        <w:t>Itálie, Portugalsko, Rakousko, Řecko, Slovensko, Slovinsko</w:t>
      </w:r>
      <w:r w:rsidR="00987928" w:rsidRPr="00B63F7D">
        <w:rPr>
          <w:lang w:val="cs-CZ" w:eastAsia="cs-CZ"/>
        </w:rPr>
        <w:t xml:space="preserve">). </w:t>
      </w:r>
      <w:r w:rsidRPr="00B63F7D">
        <w:rPr>
          <w:lang w:val="cs-CZ" w:eastAsia="cs-CZ"/>
        </w:rPr>
        <w:t xml:space="preserve">Předchozí vláda ČR ji odmítla zavést s odůvodněním, že banky </w:t>
      </w:r>
      <w:r w:rsidR="005B150A">
        <w:rPr>
          <w:lang w:val="cs-CZ" w:eastAsia="cs-CZ"/>
        </w:rPr>
        <w:t xml:space="preserve">v tuzemsku </w:t>
      </w:r>
      <w:r w:rsidRPr="00B63F7D">
        <w:rPr>
          <w:lang w:val="cs-CZ" w:eastAsia="cs-CZ"/>
        </w:rPr>
        <w:t xml:space="preserve">se na </w:t>
      </w:r>
      <w:r w:rsidR="005B150A">
        <w:rPr>
          <w:lang w:val="cs-CZ" w:eastAsia="cs-CZ"/>
        </w:rPr>
        <w:t xml:space="preserve">finanční </w:t>
      </w:r>
      <w:r w:rsidRPr="00B63F7D">
        <w:rPr>
          <w:lang w:val="cs-CZ" w:eastAsia="cs-CZ"/>
        </w:rPr>
        <w:t>krizi v zemi nepodílely</w:t>
      </w:r>
      <w:r w:rsidR="00987928" w:rsidRPr="00B63F7D">
        <w:rPr>
          <w:lang w:val="cs-CZ" w:eastAsia="cs-CZ"/>
        </w:rPr>
        <w:t xml:space="preserve"> (Palán, 2013).</w:t>
      </w:r>
      <w:r w:rsidRPr="00B63F7D">
        <w:rPr>
          <w:lang w:val="cs-CZ" w:eastAsia="cs-CZ"/>
        </w:rPr>
        <w:t xml:space="preserve"> Přitom hrubá přidaná hodnota finančních institucí v ČR roste od roku 1995 plynule a nepřerušil ji ani krizový rok 2009, který finanční instituce v ČR přestály bez problémů.</w:t>
      </w:r>
    </w:p>
    <w:p w:rsidR="00CF6BE6" w:rsidRPr="00CF6BE6" w:rsidRDefault="009C24FE" w:rsidP="00CF6BE6">
      <w:pPr>
        <w:spacing w:before="240" w:after="120"/>
        <w:rPr>
          <w:rFonts w:cs="Courier New"/>
          <w:b/>
          <w:bCs/>
          <w:szCs w:val="20"/>
          <w:lang w:val="cs-CZ" w:eastAsia="cs-CZ"/>
        </w:rPr>
      </w:pPr>
      <w:bookmarkStart w:id="5" w:name="_Toc446667721"/>
      <w:r w:rsidRPr="00B63F7D">
        <w:rPr>
          <w:rFonts w:cs="Courier New"/>
          <w:b/>
          <w:bCs/>
          <w:szCs w:val="20"/>
          <w:lang w:val="cs-CZ" w:eastAsia="cs-CZ"/>
        </w:rPr>
        <w:t>Obrázek 2</w:t>
      </w:r>
      <w:r w:rsidR="00CF6BE6" w:rsidRPr="00B63F7D">
        <w:rPr>
          <w:rFonts w:cs="Courier New"/>
          <w:b/>
          <w:bCs/>
          <w:szCs w:val="20"/>
          <w:lang w:val="cs-CZ" w:eastAsia="cs-CZ"/>
        </w:rPr>
        <w:t>: Vývoj hrubé přidané hodnoty ve finančních institucích celkem a pod zahraniční kontrolou v ČR v letech 1995 až 2010 (v mil. Kč)</w:t>
      </w:r>
      <w:bookmarkEnd w:id="5"/>
    </w:p>
    <w:p w:rsidR="00415FCE" w:rsidRDefault="00CF6BE6" w:rsidP="00CF6BE6">
      <w:pPr>
        <w:jc w:val="center"/>
        <w:rPr>
          <w:rFonts w:eastAsia="MS Mincho"/>
          <w:lang w:val="cs-CZ"/>
        </w:rPr>
      </w:pPr>
      <w:r w:rsidRPr="00CF6BE6">
        <w:rPr>
          <w:noProof/>
          <w:lang w:val="cs-CZ" w:eastAsia="cs-CZ"/>
        </w:rPr>
        <w:drawing>
          <wp:inline distT="0" distB="0" distL="0" distR="0" wp14:anchorId="028879DB" wp14:editId="48B769ED">
            <wp:extent cx="5362559" cy="18288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6525" cy="1833563"/>
                    </a:xfrm>
                    <a:prstGeom prst="rect">
                      <a:avLst/>
                    </a:prstGeom>
                    <a:noFill/>
                  </pic:spPr>
                </pic:pic>
              </a:graphicData>
            </a:graphic>
          </wp:inline>
        </w:drawing>
      </w:r>
    </w:p>
    <w:p w:rsidR="00CF6BE6" w:rsidRDefault="00CF6BE6" w:rsidP="009C24FE">
      <w:pPr>
        <w:spacing w:after="240"/>
        <w:jc w:val="right"/>
        <w:rPr>
          <w:rFonts w:cs="Courier New"/>
          <w:sz w:val="20"/>
          <w:szCs w:val="20"/>
          <w:lang w:val="cs-CZ" w:eastAsia="cs-CZ"/>
        </w:rPr>
      </w:pPr>
      <w:r w:rsidRPr="009C24FE">
        <w:rPr>
          <w:rFonts w:cs="Courier New"/>
          <w:sz w:val="20"/>
          <w:szCs w:val="20"/>
          <w:lang w:val="cs-CZ" w:eastAsia="cs-CZ"/>
        </w:rPr>
        <w:t>Zdroj: ČSÚ</w:t>
      </w:r>
      <w:r w:rsidR="009C24FE">
        <w:rPr>
          <w:rFonts w:cs="Courier New"/>
          <w:sz w:val="20"/>
          <w:szCs w:val="20"/>
          <w:lang w:val="cs-CZ" w:eastAsia="cs-CZ"/>
        </w:rPr>
        <w:t>,</w:t>
      </w:r>
      <w:r w:rsidRPr="009C24FE">
        <w:rPr>
          <w:rFonts w:cs="Courier New"/>
          <w:sz w:val="20"/>
          <w:szCs w:val="20"/>
          <w:lang w:val="cs-CZ" w:eastAsia="cs-CZ"/>
        </w:rPr>
        <w:t xml:space="preserve"> 2015.</w:t>
      </w:r>
    </w:p>
    <w:p w:rsidR="00AC5B93" w:rsidRDefault="00AC5B93" w:rsidP="00AC5B93">
      <w:pPr>
        <w:rPr>
          <w:lang w:val="cs-CZ" w:eastAsia="cs-CZ"/>
        </w:rPr>
      </w:pPr>
      <w:r>
        <w:rPr>
          <w:lang w:val="cs-CZ" w:eastAsia="cs-CZ"/>
        </w:rPr>
        <w:t>Kromě výše uvedeného j</w:t>
      </w:r>
      <w:r w:rsidR="00E40ED7">
        <w:rPr>
          <w:lang w:val="cs-CZ" w:eastAsia="cs-CZ"/>
        </w:rPr>
        <w:t>e státní podpora</w:t>
      </w:r>
      <w:r w:rsidR="004C13E9">
        <w:rPr>
          <w:lang w:val="cs-CZ" w:eastAsia="cs-CZ"/>
        </w:rPr>
        <w:t xml:space="preserve"> finanční</w:t>
      </w:r>
      <w:r w:rsidR="00E40ED7">
        <w:rPr>
          <w:lang w:val="cs-CZ" w:eastAsia="cs-CZ"/>
        </w:rPr>
        <w:t>m</w:t>
      </w:r>
      <w:r w:rsidR="004C13E9">
        <w:rPr>
          <w:lang w:val="cs-CZ" w:eastAsia="cs-CZ"/>
        </w:rPr>
        <w:t xml:space="preserve"> produkt</w:t>
      </w:r>
      <w:r w:rsidR="00E40ED7">
        <w:rPr>
          <w:lang w:val="cs-CZ" w:eastAsia="cs-CZ"/>
        </w:rPr>
        <w:t>ům</w:t>
      </w:r>
      <w:r w:rsidR="004C13E9">
        <w:rPr>
          <w:lang w:val="cs-CZ" w:eastAsia="cs-CZ"/>
        </w:rPr>
        <w:t xml:space="preserve"> </w:t>
      </w:r>
      <w:r w:rsidR="00DB0A3E">
        <w:rPr>
          <w:lang w:val="cs-CZ" w:eastAsia="cs-CZ"/>
        </w:rPr>
        <w:t>uveden</w:t>
      </w:r>
      <w:r w:rsidR="00E40ED7">
        <w:rPr>
          <w:lang w:val="cs-CZ" w:eastAsia="cs-CZ"/>
        </w:rPr>
        <w:t>ým</w:t>
      </w:r>
      <w:r w:rsidR="00DB0A3E">
        <w:rPr>
          <w:lang w:val="cs-CZ" w:eastAsia="cs-CZ"/>
        </w:rPr>
        <w:t xml:space="preserve"> v tabulce 1 </w:t>
      </w:r>
      <w:r w:rsidR="004C13E9">
        <w:rPr>
          <w:lang w:val="cs-CZ" w:eastAsia="cs-CZ"/>
        </w:rPr>
        <w:t>poskytovan</w:t>
      </w:r>
      <w:r w:rsidR="00E40ED7">
        <w:rPr>
          <w:lang w:val="cs-CZ" w:eastAsia="cs-CZ"/>
        </w:rPr>
        <w:t>á</w:t>
      </w:r>
      <w:r w:rsidR="004C13E9">
        <w:rPr>
          <w:lang w:val="cs-CZ" w:eastAsia="cs-CZ"/>
        </w:rPr>
        <w:t xml:space="preserve"> finančním instituc</w:t>
      </w:r>
      <w:r w:rsidR="00E40ED7">
        <w:rPr>
          <w:lang w:val="cs-CZ" w:eastAsia="cs-CZ"/>
        </w:rPr>
        <w:t>ím</w:t>
      </w:r>
      <w:r w:rsidR="004C13E9">
        <w:rPr>
          <w:lang w:val="cs-CZ" w:eastAsia="cs-CZ"/>
        </w:rPr>
        <w:t xml:space="preserve"> v ČR i přes klesající úhrnnou hodnotu</w:t>
      </w:r>
      <w:r>
        <w:rPr>
          <w:lang w:val="cs-CZ" w:eastAsia="cs-CZ"/>
        </w:rPr>
        <w:t xml:space="preserve"> </w:t>
      </w:r>
      <w:r w:rsidR="004C13E9">
        <w:rPr>
          <w:lang w:val="cs-CZ" w:eastAsia="cs-CZ"/>
        </w:rPr>
        <w:t>extrémně vysok</w:t>
      </w:r>
      <w:r w:rsidR="00E40ED7">
        <w:rPr>
          <w:lang w:val="cs-CZ" w:eastAsia="cs-CZ"/>
        </w:rPr>
        <w:t>á</w:t>
      </w:r>
      <w:r w:rsidR="004C13E9">
        <w:rPr>
          <w:lang w:val="cs-CZ" w:eastAsia="cs-CZ"/>
        </w:rPr>
        <w:t xml:space="preserve"> ve</w:t>
      </w:r>
      <w:r w:rsidR="00E40ED7">
        <w:rPr>
          <w:lang w:val="cs-CZ" w:eastAsia="cs-CZ"/>
        </w:rPr>
        <w:t> </w:t>
      </w:r>
      <w:r w:rsidR="004C13E9">
        <w:rPr>
          <w:lang w:val="cs-CZ" w:eastAsia="cs-CZ"/>
        </w:rPr>
        <w:t>srovnání se světem (</w:t>
      </w:r>
      <w:proofErr w:type="spellStart"/>
      <w:r w:rsidR="004C13E9">
        <w:rPr>
          <w:lang w:val="cs-CZ" w:eastAsia="cs-CZ"/>
        </w:rPr>
        <w:t>Vostatek</w:t>
      </w:r>
      <w:proofErr w:type="spellEnd"/>
      <w:r w:rsidR="004C13E9">
        <w:rPr>
          <w:lang w:val="cs-CZ" w:eastAsia="cs-CZ"/>
        </w:rPr>
        <w:t>, 2011).</w:t>
      </w:r>
      <w:r w:rsidR="007D3B27">
        <w:rPr>
          <w:lang w:val="cs-CZ" w:eastAsia="cs-CZ"/>
        </w:rPr>
        <w:t xml:space="preserve"> To se týká zejména státního příspěvku na penzijní připojištění, který roste se vzrůstajícím počtem smluv.</w:t>
      </w:r>
    </w:p>
    <w:p w:rsidR="00B6578B" w:rsidRDefault="001F4F29" w:rsidP="00B6578B">
      <w:pPr>
        <w:rPr>
          <w:b/>
          <w:lang w:val="cs-CZ" w:eastAsia="cs-CZ"/>
        </w:rPr>
      </w:pPr>
      <w:r>
        <w:rPr>
          <w:b/>
          <w:lang w:val="cs-CZ" w:eastAsia="cs-CZ"/>
        </w:rPr>
        <w:t>Tabulka 1: Vývoj výdajů ze státního rozpočtu ČR plynoucí finančním institucím v letech 2002 až 2013 v mld. Kč</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701"/>
        <w:gridCol w:w="1701"/>
        <w:gridCol w:w="1701"/>
        <w:gridCol w:w="1701"/>
      </w:tblGrid>
      <w:tr w:rsidR="001F4F29" w:rsidRPr="001F4F29" w:rsidTr="00DA532B">
        <w:tc>
          <w:tcPr>
            <w:tcW w:w="2268" w:type="dxa"/>
            <w:tcBorders>
              <w:top w:val="single" w:sz="4" w:space="0" w:color="auto"/>
              <w:bottom w:val="single" w:sz="4" w:space="0" w:color="auto"/>
            </w:tcBorders>
          </w:tcPr>
          <w:p w:rsidR="001F4F29" w:rsidRPr="001F4F29" w:rsidRDefault="001F4F29" w:rsidP="001F4F29">
            <w:pPr>
              <w:spacing w:before="0"/>
              <w:jc w:val="left"/>
              <w:rPr>
                <w:rFonts w:eastAsia="MS Mincho"/>
                <w:sz w:val="22"/>
                <w:lang w:val="cs-CZ" w:eastAsia="en-US"/>
              </w:rPr>
            </w:pPr>
          </w:p>
        </w:tc>
        <w:tc>
          <w:tcPr>
            <w:tcW w:w="1701" w:type="dxa"/>
            <w:tcBorders>
              <w:top w:val="single" w:sz="4" w:space="0" w:color="auto"/>
              <w:bottom w:val="single" w:sz="4" w:space="0" w:color="auto"/>
            </w:tcBorders>
          </w:tcPr>
          <w:p w:rsidR="001F4F29" w:rsidRPr="001F4F29" w:rsidRDefault="001F4F29" w:rsidP="001F4F29">
            <w:pPr>
              <w:spacing w:before="0"/>
              <w:jc w:val="left"/>
              <w:rPr>
                <w:rFonts w:eastAsia="MS Mincho"/>
                <w:sz w:val="22"/>
                <w:lang w:val="cs-CZ" w:eastAsia="en-US"/>
              </w:rPr>
            </w:pPr>
            <w:r w:rsidRPr="001F4F29">
              <w:rPr>
                <w:rFonts w:eastAsia="MS Mincho"/>
                <w:sz w:val="22"/>
                <w:lang w:val="cs-CZ" w:eastAsia="en-US"/>
              </w:rPr>
              <w:t>20</w:t>
            </w:r>
            <w:r>
              <w:rPr>
                <w:rFonts w:eastAsia="MS Mincho"/>
                <w:sz w:val="22"/>
                <w:lang w:val="cs-CZ" w:eastAsia="en-US"/>
              </w:rPr>
              <w:t>02</w:t>
            </w:r>
          </w:p>
        </w:tc>
        <w:tc>
          <w:tcPr>
            <w:tcW w:w="1701" w:type="dxa"/>
            <w:tcBorders>
              <w:top w:val="single" w:sz="4" w:space="0" w:color="auto"/>
              <w:bottom w:val="single" w:sz="4" w:space="0" w:color="auto"/>
            </w:tcBorders>
          </w:tcPr>
          <w:p w:rsidR="001F4F29" w:rsidRPr="001F4F29" w:rsidRDefault="001F4F29" w:rsidP="001F4F29">
            <w:pPr>
              <w:spacing w:before="0"/>
              <w:jc w:val="left"/>
              <w:rPr>
                <w:rFonts w:eastAsia="MS Mincho"/>
                <w:sz w:val="22"/>
                <w:lang w:val="cs-CZ" w:eastAsia="en-US"/>
              </w:rPr>
            </w:pPr>
            <w:r w:rsidRPr="001F4F29">
              <w:rPr>
                <w:rFonts w:eastAsia="MS Mincho"/>
                <w:sz w:val="22"/>
                <w:lang w:val="cs-CZ" w:eastAsia="en-US"/>
              </w:rPr>
              <w:t>20</w:t>
            </w:r>
            <w:r>
              <w:rPr>
                <w:rFonts w:eastAsia="MS Mincho"/>
                <w:sz w:val="22"/>
                <w:lang w:val="cs-CZ" w:eastAsia="en-US"/>
              </w:rPr>
              <w:t>05</w:t>
            </w:r>
          </w:p>
        </w:tc>
        <w:tc>
          <w:tcPr>
            <w:tcW w:w="1701" w:type="dxa"/>
            <w:tcBorders>
              <w:top w:val="single" w:sz="4" w:space="0" w:color="auto"/>
              <w:bottom w:val="single" w:sz="4" w:space="0" w:color="auto"/>
            </w:tcBorders>
          </w:tcPr>
          <w:p w:rsidR="001F4F29" w:rsidRPr="001F4F29" w:rsidRDefault="001F4F29" w:rsidP="001F4F29">
            <w:pPr>
              <w:spacing w:before="0"/>
              <w:jc w:val="left"/>
              <w:rPr>
                <w:rFonts w:eastAsia="MS Mincho"/>
                <w:sz w:val="22"/>
                <w:lang w:val="cs-CZ" w:eastAsia="en-US"/>
              </w:rPr>
            </w:pPr>
            <w:r w:rsidRPr="001F4F29">
              <w:rPr>
                <w:rFonts w:eastAsia="MS Mincho"/>
                <w:sz w:val="22"/>
                <w:lang w:val="cs-CZ" w:eastAsia="en-US"/>
              </w:rPr>
              <w:t>201</w:t>
            </w:r>
            <w:r>
              <w:rPr>
                <w:rFonts w:eastAsia="MS Mincho"/>
                <w:sz w:val="22"/>
                <w:lang w:val="cs-CZ" w:eastAsia="en-US"/>
              </w:rPr>
              <w:t>0</w:t>
            </w:r>
          </w:p>
        </w:tc>
        <w:tc>
          <w:tcPr>
            <w:tcW w:w="1701" w:type="dxa"/>
            <w:tcBorders>
              <w:top w:val="single" w:sz="4" w:space="0" w:color="auto"/>
              <w:bottom w:val="single" w:sz="4" w:space="0" w:color="auto"/>
            </w:tcBorders>
          </w:tcPr>
          <w:p w:rsidR="001F4F29" w:rsidRPr="001F4F29" w:rsidRDefault="001F4F29" w:rsidP="001F4F29">
            <w:pPr>
              <w:spacing w:before="0"/>
              <w:jc w:val="left"/>
              <w:rPr>
                <w:rFonts w:eastAsia="MS Mincho"/>
                <w:sz w:val="22"/>
                <w:lang w:val="cs-CZ" w:eastAsia="en-US"/>
              </w:rPr>
            </w:pPr>
            <w:r w:rsidRPr="001F4F29">
              <w:rPr>
                <w:rFonts w:eastAsia="MS Mincho"/>
                <w:sz w:val="22"/>
                <w:lang w:val="cs-CZ" w:eastAsia="en-US"/>
              </w:rPr>
              <w:t>201</w:t>
            </w:r>
            <w:r>
              <w:rPr>
                <w:rFonts w:eastAsia="MS Mincho"/>
                <w:sz w:val="22"/>
                <w:lang w:val="cs-CZ" w:eastAsia="en-US"/>
              </w:rPr>
              <w:t>3</w:t>
            </w:r>
          </w:p>
        </w:tc>
      </w:tr>
      <w:tr w:rsidR="001F4F29" w:rsidRPr="001F4F29" w:rsidTr="00DA532B">
        <w:tc>
          <w:tcPr>
            <w:tcW w:w="2268" w:type="dxa"/>
            <w:tcBorders>
              <w:top w:val="single" w:sz="4" w:space="0" w:color="auto"/>
            </w:tcBorders>
          </w:tcPr>
          <w:p w:rsidR="001F4F29" w:rsidRPr="001F4F29" w:rsidRDefault="001F4F29" w:rsidP="001F4F29">
            <w:pPr>
              <w:spacing w:before="0"/>
              <w:jc w:val="left"/>
              <w:rPr>
                <w:rFonts w:eastAsia="MS Mincho"/>
                <w:sz w:val="22"/>
                <w:lang w:val="cs-CZ" w:eastAsia="en-US"/>
              </w:rPr>
            </w:pPr>
            <w:r>
              <w:rPr>
                <w:rFonts w:eastAsia="MS Mincho"/>
                <w:sz w:val="22"/>
                <w:lang w:val="cs-CZ" w:eastAsia="en-US"/>
              </w:rPr>
              <w:t>Příspěvek na podporu stavebního spoření</w:t>
            </w:r>
          </w:p>
        </w:tc>
        <w:tc>
          <w:tcPr>
            <w:tcW w:w="1701" w:type="dxa"/>
            <w:tcBorders>
              <w:top w:val="single" w:sz="4" w:space="0" w:color="auto"/>
            </w:tcBorders>
          </w:tcPr>
          <w:p w:rsidR="001F4F29" w:rsidRPr="001F4F29" w:rsidRDefault="001F4F29" w:rsidP="00AC5B93">
            <w:pPr>
              <w:spacing w:before="0"/>
              <w:jc w:val="left"/>
              <w:rPr>
                <w:rFonts w:eastAsia="MS Mincho"/>
                <w:sz w:val="22"/>
                <w:lang w:val="cs-CZ" w:eastAsia="en-US"/>
              </w:rPr>
            </w:pPr>
            <w:r w:rsidRPr="001F4F29">
              <w:rPr>
                <w:rFonts w:eastAsia="MS Mincho"/>
                <w:sz w:val="22"/>
                <w:lang w:val="cs-CZ" w:eastAsia="en-US"/>
              </w:rPr>
              <w:t>1</w:t>
            </w:r>
            <w:r w:rsidR="00AC5B93">
              <w:rPr>
                <w:rFonts w:eastAsia="MS Mincho"/>
                <w:sz w:val="22"/>
                <w:lang w:val="cs-CZ" w:eastAsia="en-US"/>
              </w:rPr>
              <w:t>1</w:t>
            </w:r>
            <w:r w:rsidRPr="001F4F29">
              <w:rPr>
                <w:rFonts w:eastAsia="MS Mincho"/>
                <w:sz w:val="22"/>
                <w:lang w:val="cs-CZ" w:eastAsia="en-US"/>
              </w:rPr>
              <w:t>,</w:t>
            </w:r>
            <w:r w:rsidR="00AC5B93">
              <w:rPr>
                <w:rFonts w:eastAsia="MS Mincho"/>
                <w:sz w:val="22"/>
                <w:lang w:val="cs-CZ" w:eastAsia="en-US"/>
              </w:rPr>
              <w:t>06</w:t>
            </w:r>
          </w:p>
        </w:tc>
        <w:tc>
          <w:tcPr>
            <w:tcW w:w="1701" w:type="dxa"/>
            <w:tcBorders>
              <w:top w:val="single" w:sz="4" w:space="0" w:color="auto"/>
            </w:tcBorders>
          </w:tcPr>
          <w:p w:rsidR="001F4F29" w:rsidRPr="001F4F29" w:rsidRDefault="001F4F29" w:rsidP="00AC5B93">
            <w:pPr>
              <w:spacing w:before="0"/>
              <w:jc w:val="left"/>
              <w:rPr>
                <w:rFonts w:eastAsia="MS Mincho"/>
                <w:sz w:val="22"/>
                <w:lang w:val="cs-CZ" w:eastAsia="en-US"/>
              </w:rPr>
            </w:pPr>
            <w:r w:rsidRPr="001F4F29">
              <w:rPr>
                <w:rFonts w:eastAsia="MS Mincho"/>
                <w:sz w:val="22"/>
                <w:lang w:val="cs-CZ" w:eastAsia="en-US"/>
              </w:rPr>
              <w:t>1</w:t>
            </w:r>
            <w:r w:rsidR="00AC5B93">
              <w:rPr>
                <w:rFonts w:eastAsia="MS Mincho"/>
                <w:sz w:val="22"/>
                <w:lang w:val="cs-CZ" w:eastAsia="en-US"/>
              </w:rPr>
              <w:t>6</w:t>
            </w:r>
            <w:r w:rsidRPr="001F4F29">
              <w:rPr>
                <w:rFonts w:eastAsia="MS Mincho"/>
                <w:sz w:val="22"/>
                <w:lang w:val="cs-CZ" w:eastAsia="en-US"/>
              </w:rPr>
              <w:t>,</w:t>
            </w:r>
            <w:r w:rsidR="00AC5B93">
              <w:rPr>
                <w:rFonts w:eastAsia="MS Mincho"/>
                <w:sz w:val="22"/>
                <w:lang w:val="cs-CZ" w:eastAsia="en-US"/>
              </w:rPr>
              <w:t>09</w:t>
            </w:r>
          </w:p>
        </w:tc>
        <w:tc>
          <w:tcPr>
            <w:tcW w:w="1701" w:type="dxa"/>
            <w:tcBorders>
              <w:top w:val="single" w:sz="4" w:space="0" w:color="auto"/>
            </w:tcBorders>
          </w:tcPr>
          <w:p w:rsidR="001F4F29" w:rsidRPr="001F4F29" w:rsidRDefault="001F4F29" w:rsidP="00AC5B93">
            <w:pPr>
              <w:spacing w:before="0"/>
              <w:jc w:val="left"/>
              <w:rPr>
                <w:rFonts w:eastAsia="MS Mincho"/>
                <w:sz w:val="22"/>
                <w:lang w:val="cs-CZ" w:eastAsia="en-US"/>
              </w:rPr>
            </w:pPr>
            <w:r w:rsidRPr="001F4F29">
              <w:rPr>
                <w:rFonts w:eastAsia="MS Mincho"/>
                <w:sz w:val="22"/>
                <w:lang w:val="cs-CZ" w:eastAsia="en-US"/>
              </w:rPr>
              <w:t>1</w:t>
            </w:r>
            <w:r w:rsidR="00AC5B93">
              <w:rPr>
                <w:rFonts w:eastAsia="MS Mincho"/>
                <w:sz w:val="22"/>
                <w:lang w:val="cs-CZ" w:eastAsia="en-US"/>
              </w:rPr>
              <w:t>1,74</w:t>
            </w:r>
          </w:p>
        </w:tc>
        <w:tc>
          <w:tcPr>
            <w:tcW w:w="1701" w:type="dxa"/>
            <w:tcBorders>
              <w:top w:val="single" w:sz="4" w:space="0" w:color="auto"/>
            </w:tcBorders>
          </w:tcPr>
          <w:p w:rsidR="001F4F29" w:rsidRPr="001F4F29" w:rsidRDefault="00AC5B93" w:rsidP="00AC5B93">
            <w:pPr>
              <w:spacing w:before="0"/>
              <w:jc w:val="left"/>
              <w:rPr>
                <w:rFonts w:eastAsia="MS Mincho"/>
                <w:sz w:val="22"/>
                <w:lang w:val="cs-CZ" w:eastAsia="en-US"/>
              </w:rPr>
            </w:pPr>
            <w:r>
              <w:rPr>
                <w:rFonts w:eastAsia="MS Mincho"/>
                <w:sz w:val="22"/>
                <w:lang w:val="cs-CZ" w:eastAsia="en-US"/>
              </w:rPr>
              <w:t>4,95</w:t>
            </w:r>
          </w:p>
        </w:tc>
      </w:tr>
      <w:tr w:rsidR="001F4F29" w:rsidRPr="001F4F29" w:rsidTr="00DA532B">
        <w:tc>
          <w:tcPr>
            <w:tcW w:w="2268" w:type="dxa"/>
          </w:tcPr>
          <w:p w:rsidR="001F4F29" w:rsidRPr="001F4F29" w:rsidRDefault="001F4F29" w:rsidP="005F758A">
            <w:pPr>
              <w:spacing w:before="0"/>
              <w:jc w:val="left"/>
              <w:rPr>
                <w:rFonts w:eastAsia="MS Mincho"/>
                <w:sz w:val="22"/>
                <w:lang w:val="cs-CZ" w:eastAsia="en-US"/>
              </w:rPr>
            </w:pPr>
            <w:r>
              <w:rPr>
                <w:rFonts w:eastAsia="MS Mincho"/>
                <w:sz w:val="22"/>
                <w:lang w:val="cs-CZ" w:eastAsia="en-US"/>
              </w:rPr>
              <w:t>Státní</w:t>
            </w:r>
            <w:r w:rsidR="005F758A">
              <w:rPr>
                <w:rFonts w:eastAsia="MS Mincho"/>
                <w:sz w:val="22"/>
                <w:lang w:val="cs-CZ" w:eastAsia="en-US"/>
              </w:rPr>
              <w:t xml:space="preserve"> podpora hypotečnímu úvěrování</w:t>
            </w:r>
          </w:p>
        </w:tc>
        <w:tc>
          <w:tcPr>
            <w:tcW w:w="1701" w:type="dxa"/>
          </w:tcPr>
          <w:p w:rsidR="001F4F29" w:rsidRPr="001F4F29" w:rsidRDefault="00AC5B93" w:rsidP="001F4F29">
            <w:pPr>
              <w:spacing w:before="0"/>
              <w:jc w:val="left"/>
              <w:rPr>
                <w:rFonts w:eastAsia="MS Mincho"/>
                <w:sz w:val="22"/>
                <w:lang w:val="cs-CZ" w:eastAsia="en-US"/>
              </w:rPr>
            </w:pPr>
            <w:r>
              <w:rPr>
                <w:rFonts w:eastAsia="MS Mincho"/>
                <w:sz w:val="22"/>
                <w:lang w:val="cs-CZ" w:eastAsia="en-US"/>
              </w:rPr>
              <w:t>0,46</w:t>
            </w:r>
          </w:p>
        </w:tc>
        <w:tc>
          <w:tcPr>
            <w:tcW w:w="1701" w:type="dxa"/>
          </w:tcPr>
          <w:p w:rsidR="001F4F29" w:rsidRPr="001F4F29" w:rsidRDefault="00AC5B93" w:rsidP="00AC5B93">
            <w:pPr>
              <w:spacing w:before="0"/>
              <w:jc w:val="left"/>
              <w:rPr>
                <w:rFonts w:eastAsia="MS Mincho"/>
                <w:sz w:val="22"/>
                <w:lang w:val="cs-CZ" w:eastAsia="en-US"/>
              </w:rPr>
            </w:pPr>
            <w:r>
              <w:rPr>
                <w:rFonts w:eastAsia="MS Mincho"/>
                <w:sz w:val="22"/>
                <w:lang w:val="cs-CZ" w:eastAsia="en-US"/>
              </w:rPr>
              <w:t>0,34</w:t>
            </w:r>
          </w:p>
        </w:tc>
        <w:tc>
          <w:tcPr>
            <w:tcW w:w="1701" w:type="dxa"/>
          </w:tcPr>
          <w:p w:rsidR="001F4F29" w:rsidRPr="001F4F29" w:rsidRDefault="00AC5B93" w:rsidP="00AC5B93">
            <w:pPr>
              <w:spacing w:before="0"/>
              <w:jc w:val="left"/>
              <w:rPr>
                <w:rFonts w:eastAsia="MS Mincho"/>
                <w:sz w:val="22"/>
                <w:lang w:val="cs-CZ" w:eastAsia="en-US"/>
              </w:rPr>
            </w:pPr>
            <w:r>
              <w:rPr>
                <w:rFonts w:eastAsia="MS Mincho"/>
                <w:sz w:val="22"/>
                <w:lang w:val="cs-CZ" w:eastAsia="en-US"/>
              </w:rPr>
              <w:t>0,02</w:t>
            </w:r>
          </w:p>
        </w:tc>
        <w:tc>
          <w:tcPr>
            <w:tcW w:w="1701" w:type="dxa"/>
          </w:tcPr>
          <w:p w:rsidR="001F4F29" w:rsidRPr="001F4F29" w:rsidRDefault="00AC5B93" w:rsidP="00AC5B93">
            <w:pPr>
              <w:spacing w:before="0"/>
              <w:jc w:val="left"/>
              <w:rPr>
                <w:rFonts w:eastAsia="MS Mincho"/>
                <w:sz w:val="22"/>
                <w:lang w:val="cs-CZ" w:eastAsia="en-US"/>
              </w:rPr>
            </w:pPr>
            <w:r>
              <w:rPr>
                <w:rFonts w:eastAsia="MS Mincho"/>
                <w:sz w:val="22"/>
                <w:lang w:val="cs-CZ" w:eastAsia="en-US"/>
              </w:rPr>
              <w:t>0,02</w:t>
            </w:r>
          </w:p>
        </w:tc>
      </w:tr>
      <w:tr w:rsidR="001F4F29" w:rsidRPr="001F4F29" w:rsidTr="00AC5B93">
        <w:tc>
          <w:tcPr>
            <w:tcW w:w="2268" w:type="dxa"/>
          </w:tcPr>
          <w:p w:rsidR="001F4F29" w:rsidRPr="001F4F29" w:rsidRDefault="005F758A" w:rsidP="005F758A">
            <w:pPr>
              <w:spacing w:before="0"/>
              <w:jc w:val="left"/>
              <w:rPr>
                <w:rFonts w:eastAsia="MS Mincho"/>
                <w:sz w:val="22"/>
                <w:lang w:val="cs-CZ" w:eastAsia="en-US"/>
              </w:rPr>
            </w:pPr>
            <w:r>
              <w:rPr>
                <w:rFonts w:eastAsia="MS Mincho"/>
                <w:sz w:val="22"/>
                <w:lang w:val="cs-CZ" w:eastAsia="en-US"/>
              </w:rPr>
              <w:t>Státní příspěvek na penzijní připojištění</w:t>
            </w:r>
          </w:p>
        </w:tc>
        <w:tc>
          <w:tcPr>
            <w:tcW w:w="1701" w:type="dxa"/>
          </w:tcPr>
          <w:p w:rsidR="001F4F29" w:rsidRPr="001F4F29" w:rsidRDefault="00AC5B93" w:rsidP="00AC5B93">
            <w:pPr>
              <w:spacing w:before="0"/>
              <w:jc w:val="left"/>
              <w:rPr>
                <w:rFonts w:eastAsia="MS Mincho"/>
                <w:sz w:val="22"/>
                <w:lang w:val="cs-CZ" w:eastAsia="en-US"/>
              </w:rPr>
            </w:pPr>
            <w:r>
              <w:rPr>
                <w:rFonts w:eastAsia="MS Mincho"/>
                <w:sz w:val="22"/>
                <w:lang w:val="cs-CZ" w:eastAsia="en-US"/>
              </w:rPr>
              <w:t>2,75</w:t>
            </w:r>
          </w:p>
        </w:tc>
        <w:tc>
          <w:tcPr>
            <w:tcW w:w="1701" w:type="dxa"/>
          </w:tcPr>
          <w:p w:rsidR="001F4F29" w:rsidRPr="001F4F29" w:rsidRDefault="00AC5B93" w:rsidP="00AC5B93">
            <w:pPr>
              <w:spacing w:before="0"/>
              <w:jc w:val="left"/>
              <w:rPr>
                <w:rFonts w:eastAsia="MS Mincho"/>
                <w:sz w:val="22"/>
                <w:lang w:val="cs-CZ" w:eastAsia="en-US"/>
              </w:rPr>
            </w:pPr>
            <w:r>
              <w:rPr>
                <w:rFonts w:eastAsia="MS Mincho"/>
                <w:sz w:val="22"/>
                <w:lang w:val="cs-CZ" w:eastAsia="en-US"/>
              </w:rPr>
              <w:t>3,57</w:t>
            </w:r>
          </w:p>
        </w:tc>
        <w:tc>
          <w:tcPr>
            <w:tcW w:w="1701" w:type="dxa"/>
          </w:tcPr>
          <w:p w:rsidR="001F4F29" w:rsidRPr="001F4F29" w:rsidRDefault="00AC5B93" w:rsidP="00AC5B93">
            <w:pPr>
              <w:spacing w:before="0"/>
              <w:jc w:val="left"/>
              <w:rPr>
                <w:rFonts w:eastAsia="MS Mincho"/>
                <w:sz w:val="22"/>
                <w:lang w:val="cs-CZ" w:eastAsia="en-US"/>
              </w:rPr>
            </w:pPr>
            <w:r>
              <w:rPr>
                <w:rFonts w:eastAsia="MS Mincho"/>
                <w:sz w:val="22"/>
                <w:lang w:val="cs-CZ" w:eastAsia="en-US"/>
              </w:rPr>
              <w:t>5,47</w:t>
            </w:r>
          </w:p>
        </w:tc>
        <w:tc>
          <w:tcPr>
            <w:tcW w:w="1701" w:type="dxa"/>
          </w:tcPr>
          <w:p w:rsidR="001F4F29" w:rsidRPr="001F4F29" w:rsidRDefault="00AC5B93" w:rsidP="00AC5B93">
            <w:pPr>
              <w:spacing w:before="0"/>
              <w:jc w:val="left"/>
              <w:rPr>
                <w:rFonts w:eastAsia="MS Mincho"/>
                <w:sz w:val="22"/>
                <w:lang w:val="cs-CZ" w:eastAsia="en-US"/>
              </w:rPr>
            </w:pPr>
            <w:r>
              <w:rPr>
                <w:rFonts w:eastAsia="MS Mincho"/>
                <w:sz w:val="22"/>
                <w:lang w:val="cs-CZ" w:eastAsia="en-US"/>
              </w:rPr>
              <w:t>6,69</w:t>
            </w:r>
          </w:p>
        </w:tc>
      </w:tr>
      <w:tr w:rsidR="00AC5B93" w:rsidRPr="001F4F29" w:rsidTr="00DA532B">
        <w:tc>
          <w:tcPr>
            <w:tcW w:w="2268" w:type="dxa"/>
            <w:tcBorders>
              <w:bottom w:val="single" w:sz="4" w:space="0" w:color="auto"/>
            </w:tcBorders>
          </w:tcPr>
          <w:p w:rsidR="00AC5B93" w:rsidRPr="00AC5B93" w:rsidRDefault="00AC5B93" w:rsidP="005F758A">
            <w:pPr>
              <w:spacing w:before="0"/>
              <w:jc w:val="left"/>
              <w:rPr>
                <w:rFonts w:eastAsia="MS Mincho"/>
                <w:b/>
                <w:sz w:val="22"/>
                <w:lang w:val="cs-CZ"/>
              </w:rPr>
            </w:pPr>
            <w:r w:rsidRPr="00AC5B93">
              <w:rPr>
                <w:rFonts w:eastAsia="MS Mincho"/>
                <w:b/>
                <w:sz w:val="22"/>
                <w:lang w:val="cs-CZ"/>
              </w:rPr>
              <w:t>Celkem</w:t>
            </w:r>
          </w:p>
        </w:tc>
        <w:tc>
          <w:tcPr>
            <w:tcW w:w="1701" w:type="dxa"/>
            <w:tcBorders>
              <w:bottom w:val="single" w:sz="4" w:space="0" w:color="auto"/>
            </w:tcBorders>
          </w:tcPr>
          <w:p w:rsidR="00AC5B93" w:rsidRPr="00AC5B93" w:rsidRDefault="00AC5B93" w:rsidP="001F4F29">
            <w:pPr>
              <w:spacing w:before="0"/>
              <w:jc w:val="left"/>
              <w:rPr>
                <w:rFonts w:eastAsia="MS Mincho"/>
                <w:b/>
                <w:sz w:val="22"/>
                <w:lang w:val="cs-CZ"/>
              </w:rPr>
            </w:pPr>
            <w:r w:rsidRPr="00AC5B93">
              <w:rPr>
                <w:rFonts w:eastAsia="MS Mincho"/>
                <w:b/>
                <w:sz w:val="22"/>
                <w:lang w:val="cs-CZ"/>
              </w:rPr>
              <w:t>14,27</w:t>
            </w:r>
          </w:p>
        </w:tc>
        <w:tc>
          <w:tcPr>
            <w:tcW w:w="1701" w:type="dxa"/>
            <w:tcBorders>
              <w:bottom w:val="single" w:sz="4" w:space="0" w:color="auto"/>
            </w:tcBorders>
          </w:tcPr>
          <w:p w:rsidR="00AC5B93" w:rsidRPr="00AC5B93" w:rsidRDefault="00AC5B93" w:rsidP="001F4F29">
            <w:pPr>
              <w:spacing w:before="0"/>
              <w:jc w:val="left"/>
              <w:rPr>
                <w:rFonts w:eastAsia="MS Mincho"/>
                <w:b/>
                <w:sz w:val="22"/>
                <w:lang w:val="cs-CZ"/>
              </w:rPr>
            </w:pPr>
            <w:r w:rsidRPr="00AC5B93">
              <w:rPr>
                <w:rFonts w:eastAsia="MS Mincho"/>
                <w:b/>
                <w:sz w:val="22"/>
                <w:lang w:val="cs-CZ"/>
              </w:rPr>
              <w:t>20,00</w:t>
            </w:r>
          </w:p>
        </w:tc>
        <w:tc>
          <w:tcPr>
            <w:tcW w:w="1701" w:type="dxa"/>
            <w:tcBorders>
              <w:bottom w:val="single" w:sz="4" w:space="0" w:color="auto"/>
            </w:tcBorders>
          </w:tcPr>
          <w:p w:rsidR="00AC5B93" w:rsidRPr="00AC5B93" w:rsidRDefault="00AC5B93" w:rsidP="001F4F29">
            <w:pPr>
              <w:spacing w:before="0"/>
              <w:jc w:val="left"/>
              <w:rPr>
                <w:rFonts w:eastAsia="MS Mincho"/>
                <w:b/>
                <w:sz w:val="22"/>
                <w:lang w:val="cs-CZ"/>
              </w:rPr>
            </w:pPr>
            <w:r w:rsidRPr="00AC5B93">
              <w:rPr>
                <w:rFonts w:eastAsia="MS Mincho"/>
                <w:b/>
                <w:sz w:val="22"/>
                <w:lang w:val="cs-CZ"/>
              </w:rPr>
              <w:t>17,24</w:t>
            </w:r>
          </w:p>
        </w:tc>
        <w:tc>
          <w:tcPr>
            <w:tcW w:w="1701" w:type="dxa"/>
            <w:tcBorders>
              <w:bottom w:val="single" w:sz="4" w:space="0" w:color="auto"/>
            </w:tcBorders>
          </w:tcPr>
          <w:p w:rsidR="00AC5B93" w:rsidRPr="00AC5B93" w:rsidRDefault="00AC5B93" w:rsidP="001F4F29">
            <w:pPr>
              <w:spacing w:before="0"/>
              <w:jc w:val="left"/>
              <w:rPr>
                <w:rFonts w:eastAsia="MS Mincho"/>
                <w:b/>
                <w:sz w:val="22"/>
                <w:lang w:val="cs-CZ"/>
              </w:rPr>
            </w:pPr>
            <w:r w:rsidRPr="00AC5B93">
              <w:rPr>
                <w:rFonts w:eastAsia="MS Mincho"/>
                <w:b/>
                <w:sz w:val="22"/>
                <w:lang w:val="cs-CZ"/>
              </w:rPr>
              <w:t>11,66</w:t>
            </w:r>
          </w:p>
        </w:tc>
      </w:tr>
    </w:tbl>
    <w:p w:rsidR="001F4F29" w:rsidRPr="00AC5B93" w:rsidRDefault="001F4F29" w:rsidP="00AC5B93">
      <w:pPr>
        <w:jc w:val="right"/>
        <w:rPr>
          <w:sz w:val="20"/>
          <w:szCs w:val="20"/>
          <w:lang w:val="cs-CZ"/>
        </w:rPr>
      </w:pPr>
      <w:r w:rsidRPr="00AC5B93">
        <w:rPr>
          <w:sz w:val="20"/>
          <w:szCs w:val="20"/>
          <w:lang w:val="cs-CZ"/>
        </w:rPr>
        <w:t xml:space="preserve">Zdroj: </w:t>
      </w:r>
      <w:r w:rsidR="00EB104D" w:rsidRPr="00AC5B93">
        <w:rPr>
          <w:sz w:val="20"/>
          <w:szCs w:val="20"/>
          <w:lang w:val="cs-CZ"/>
        </w:rPr>
        <w:t>Vlastní zpracování z podkladů MF ČR</w:t>
      </w:r>
    </w:p>
    <w:p w:rsidR="00E718D8" w:rsidRPr="00A120BA" w:rsidRDefault="00C15967" w:rsidP="00E718D8">
      <w:pPr>
        <w:pStyle w:val="Nadpis1"/>
        <w:rPr>
          <w:rFonts w:eastAsia="MS Mincho"/>
          <w:lang w:val="cs-CZ"/>
        </w:rPr>
      </w:pPr>
      <w:r>
        <w:rPr>
          <w:rFonts w:eastAsia="MS Mincho"/>
          <w:lang w:val="cs-CZ"/>
        </w:rPr>
        <w:t>Z</w:t>
      </w:r>
      <w:r w:rsidR="00F14AD0">
        <w:rPr>
          <w:rFonts w:eastAsia="MS Mincho"/>
          <w:lang w:val="cs-CZ"/>
        </w:rPr>
        <w:t>ávěry</w:t>
      </w:r>
    </w:p>
    <w:p w:rsidR="00F110C5" w:rsidRDefault="00B72E51" w:rsidP="00CF6BE6">
      <w:pPr>
        <w:rPr>
          <w:lang w:val="cs-CZ" w:eastAsia="cs-CZ"/>
        </w:rPr>
      </w:pPr>
      <w:r w:rsidRPr="00B72E51">
        <w:rPr>
          <w:lang w:val="cs-CZ" w:eastAsia="cs-CZ"/>
        </w:rPr>
        <w:t xml:space="preserve">Z hlediska daňové teorie je správné, aby všechny finanční služby byly zdaňovány DPH. Zamezilo by se tak distorzím a zvýšila by se neutralita daně. </w:t>
      </w:r>
      <w:r>
        <w:rPr>
          <w:lang w:val="cs-CZ" w:eastAsia="cs-CZ"/>
        </w:rPr>
        <w:t xml:space="preserve">Vzhledem k tomu, že toto pravidlo není možné </w:t>
      </w:r>
      <w:r w:rsidR="000E27D4">
        <w:rPr>
          <w:lang w:val="cs-CZ" w:eastAsia="cs-CZ"/>
        </w:rPr>
        <w:t xml:space="preserve">z praktického hlediska </w:t>
      </w:r>
      <w:r>
        <w:rPr>
          <w:lang w:val="cs-CZ" w:eastAsia="cs-CZ"/>
        </w:rPr>
        <w:t xml:space="preserve">vždy dodržet, mělo by být snahou </w:t>
      </w:r>
      <w:r w:rsidR="007D3B27">
        <w:rPr>
          <w:lang w:val="cs-CZ" w:eastAsia="cs-CZ"/>
        </w:rPr>
        <w:t>zvýšit</w:t>
      </w:r>
      <w:r>
        <w:rPr>
          <w:lang w:val="cs-CZ" w:eastAsia="cs-CZ"/>
        </w:rPr>
        <w:t xml:space="preserve"> </w:t>
      </w:r>
      <w:r w:rsidR="00ED02C7">
        <w:rPr>
          <w:lang w:val="cs-CZ" w:eastAsia="cs-CZ"/>
        </w:rPr>
        <w:t xml:space="preserve">oproti stávajícímu stavu </w:t>
      </w:r>
      <w:r>
        <w:rPr>
          <w:lang w:val="cs-CZ" w:eastAsia="cs-CZ"/>
        </w:rPr>
        <w:t xml:space="preserve">rozsah </w:t>
      </w:r>
      <w:r w:rsidR="000E27D4">
        <w:rPr>
          <w:lang w:val="cs-CZ" w:eastAsia="cs-CZ"/>
        </w:rPr>
        <w:t xml:space="preserve">těchto </w:t>
      </w:r>
      <w:r w:rsidR="007D3B27">
        <w:rPr>
          <w:lang w:val="cs-CZ" w:eastAsia="cs-CZ"/>
        </w:rPr>
        <w:t>služeb, jež se zdaňují.</w:t>
      </w:r>
    </w:p>
    <w:p w:rsidR="00003709" w:rsidRDefault="00B72E51" w:rsidP="00CF6BE6">
      <w:pPr>
        <w:rPr>
          <w:lang w:val="cs-CZ" w:eastAsia="cs-CZ"/>
        </w:rPr>
      </w:pPr>
      <w:r>
        <w:rPr>
          <w:lang w:val="cs-CZ" w:eastAsia="cs-CZ"/>
        </w:rPr>
        <w:t xml:space="preserve">Na úrovni EU by </w:t>
      </w:r>
      <w:r w:rsidR="000E27D4">
        <w:rPr>
          <w:lang w:val="cs-CZ" w:eastAsia="cs-CZ"/>
        </w:rPr>
        <w:t xml:space="preserve">proto </w:t>
      </w:r>
      <w:r>
        <w:rPr>
          <w:lang w:val="cs-CZ" w:eastAsia="cs-CZ"/>
        </w:rPr>
        <w:t>bylo vhodné vrátit se k původnímu návrhu novelizace Směrnice o</w:t>
      </w:r>
      <w:r w:rsidR="00F110C5">
        <w:rPr>
          <w:lang w:val="cs-CZ" w:eastAsia="cs-CZ"/>
        </w:rPr>
        <w:t> </w:t>
      </w:r>
      <w:r>
        <w:rPr>
          <w:lang w:val="cs-CZ" w:eastAsia="cs-CZ"/>
        </w:rPr>
        <w:t>DPH</w:t>
      </w:r>
      <w:r w:rsidR="0096738E">
        <w:rPr>
          <w:lang w:val="cs-CZ" w:eastAsia="cs-CZ"/>
        </w:rPr>
        <w:t xml:space="preserve"> </w:t>
      </w:r>
      <w:r w:rsidR="000E27D4">
        <w:rPr>
          <w:lang w:val="cs-CZ" w:eastAsia="cs-CZ"/>
        </w:rPr>
        <w:t xml:space="preserve">z roku 2007 </w:t>
      </w:r>
      <w:r w:rsidR="0096738E">
        <w:rPr>
          <w:lang w:val="cs-CZ" w:eastAsia="cs-CZ"/>
        </w:rPr>
        <w:t xml:space="preserve">a </w:t>
      </w:r>
      <w:r w:rsidR="006E3DB3">
        <w:rPr>
          <w:lang w:val="cs-CZ" w:eastAsia="cs-CZ"/>
        </w:rPr>
        <w:t xml:space="preserve">aplikovat povinnost </w:t>
      </w:r>
      <w:r w:rsidR="00F110C5">
        <w:rPr>
          <w:lang w:val="cs-CZ" w:eastAsia="cs-CZ"/>
        </w:rPr>
        <w:t xml:space="preserve">členským zemím </w:t>
      </w:r>
      <w:r w:rsidR="006E3DB3">
        <w:rPr>
          <w:lang w:val="cs-CZ" w:eastAsia="cs-CZ"/>
        </w:rPr>
        <w:t xml:space="preserve">umožnit finančním institucím finanční </w:t>
      </w:r>
      <w:r w:rsidR="00B6578B">
        <w:rPr>
          <w:lang w:val="cs-CZ" w:eastAsia="cs-CZ"/>
        </w:rPr>
        <w:t>činnosti</w:t>
      </w:r>
      <w:r w:rsidR="006E3DB3">
        <w:rPr>
          <w:lang w:val="cs-CZ" w:eastAsia="cs-CZ"/>
        </w:rPr>
        <w:t xml:space="preserve"> zdaňovat či osvobodit od DPH, nejlépe na základě toho, zda je příjemce služby plátcem či nikoli.</w:t>
      </w:r>
      <w:r w:rsidR="00F110C5">
        <w:rPr>
          <w:lang w:val="cs-CZ" w:eastAsia="cs-CZ"/>
        </w:rPr>
        <w:t xml:space="preserve"> Dále se navrhuje, aby se rozšířil rozsah finančních služeb, jež jsou zdaňovány DPH, a to alespoň těch, jež jsou poskytovány za poplatek. K tomu je zapotřebí </w:t>
      </w:r>
      <w:r w:rsidR="00C15967">
        <w:rPr>
          <w:lang w:val="cs-CZ" w:eastAsia="cs-CZ"/>
        </w:rPr>
        <w:lastRenderedPageBreak/>
        <w:t>dále</w:t>
      </w:r>
      <w:r w:rsidR="00F110C5">
        <w:rPr>
          <w:lang w:val="cs-CZ" w:eastAsia="cs-CZ"/>
        </w:rPr>
        <w:t xml:space="preserve"> zdokonalovat definice těchto služeb</w:t>
      </w:r>
      <w:r w:rsidR="00C15967">
        <w:rPr>
          <w:lang w:val="cs-CZ" w:eastAsia="cs-CZ"/>
        </w:rPr>
        <w:t xml:space="preserve"> tak, aby se zamezilo možným záměnám a uplatnění nesprávného režimu zdanění</w:t>
      </w:r>
      <w:r w:rsidR="00F110C5">
        <w:rPr>
          <w:lang w:val="cs-CZ" w:eastAsia="cs-CZ"/>
        </w:rPr>
        <w:t xml:space="preserve">. </w:t>
      </w:r>
    </w:p>
    <w:p w:rsidR="00B6578B" w:rsidRDefault="00CF6BE6" w:rsidP="00CF6BE6">
      <w:pPr>
        <w:rPr>
          <w:rFonts w:eastAsia="MS Mincho"/>
          <w:lang w:val="cs-CZ"/>
        </w:rPr>
      </w:pPr>
      <w:r w:rsidRPr="00CF6BE6">
        <w:rPr>
          <w:rFonts w:eastAsia="MS Mincho"/>
          <w:lang w:val="cs-CZ"/>
        </w:rPr>
        <w:t>Autorka doporučuje</w:t>
      </w:r>
      <w:r w:rsidR="00B6578B">
        <w:rPr>
          <w:rFonts w:eastAsia="MS Mincho"/>
          <w:lang w:val="cs-CZ"/>
        </w:rPr>
        <w:t xml:space="preserve"> na úrovni ČR</w:t>
      </w:r>
      <w:r w:rsidRPr="00CF6BE6">
        <w:rPr>
          <w:rFonts w:eastAsia="MS Mincho"/>
          <w:lang w:val="cs-CZ"/>
        </w:rPr>
        <w:t xml:space="preserve">, </w:t>
      </w:r>
      <w:r w:rsidR="00ED02C7">
        <w:rPr>
          <w:rFonts w:eastAsia="MS Mincho"/>
          <w:lang w:val="cs-CZ"/>
        </w:rPr>
        <w:t xml:space="preserve">dokud nebude uložena </w:t>
      </w:r>
      <w:r w:rsidR="00B6578B">
        <w:rPr>
          <w:rFonts w:eastAsia="MS Mincho"/>
          <w:lang w:val="cs-CZ"/>
        </w:rPr>
        <w:t xml:space="preserve">tato </w:t>
      </w:r>
      <w:r w:rsidR="00ED02C7">
        <w:rPr>
          <w:rFonts w:eastAsia="MS Mincho"/>
          <w:lang w:val="cs-CZ"/>
        </w:rPr>
        <w:t>povinnost členským státům</w:t>
      </w:r>
      <w:r w:rsidR="00B6578B">
        <w:rPr>
          <w:rFonts w:eastAsia="MS Mincho"/>
          <w:lang w:val="cs-CZ"/>
        </w:rPr>
        <w:t xml:space="preserve"> EU</w:t>
      </w:r>
      <w:r w:rsidR="00ED02C7">
        <w:rPr>
          <w:rFonts w:eastAsia="MS Mincho"/>
          <w:lang w:val="cs-CZ"/>
        </w:rPr>
        <w:t xml:space="preserve">, </w:t>
      </w:r>
      <w:r w:rsidRPr="00CF6BE6">
        <w:rPr>
          <w:rFonts w:eastAsia="MS Mincho"/>
          <w:lang w:val="cs-CZ"/>
        </w:rPr>
        <w:t xml:space="preserve">aby </w:t>
      </w:r>
      <w:r w:rsidR="00B6578B">
        <w:rPr>
          <w:rFonts w:eastAsia="MS Mincho"/>
          <w:lang w:val="cs-CZ"/>
        </w:rPr>
        <w:t xml:space="preserve">bylo novelizací zákona o DPH </w:t>
      </w:r>
      <w:r w:rsidR="00ED02C7">
        <w:rPr>
          <w:rFonts w:eastAsia="MS Mincho"/>
          <w:lang w:val="cs-CZ"/>
        </w:rPr>
        <w:t>umožn</w:t>
      </w:r>
      <w:r w:rsidR="00B6578B">
        <w:rPr>
          <w:rFonts w:eastAsia="MS Mincho"/>
          <w:lang w:val="cs-CZ"/>
        </w:rPr>
        <w:t>ěno</w:t>
      </w:r>
      <w:r w:rsidR="00ED02C7">
        <w:rPr>
          <w:rFonts w:eastAsia="MS Mincho"/>
          <w:lang w:val="cs-CZ"/>
        </w:rPr>
        <w:t xml:space="preserve"> finančním institucím</w:t>
      </w:r>
      <w:r w:rsidR="00B6578B">
        <w:rPr>
          <w:rFonts w:eastAsia="MS Mincho"/>
          <w:lang w:val="cs-CZ"/>
        </w:rPr>
        <w:t xml:space="preserve"> </w:t>
      </w:r>
      <w:r w:rsidRPr="00CF6BE6">
        <w:rPr>
          <w:rFonts w:eastAsia="MS Mincho"/>
          <w:lang w:val="cs-CZ"/>
        </w:rPr>
        <w:t>rozhodnout se, zda budou své finanční služby zdaňovat či osvobozovat od daně v souladu se Směrnicí o DPH</w:t>
      </w:r>
      <w:r w:rsidR="00B6578B">
        <w:rPr>
          <w:rFonts w:eastAsia="MS Mincho"/>
          <w:lang w:val="cs-CZ"/>
        </w:rPr>
        <w:t>,</w:t>
      </w:r>
      <w:r w:rsidR="00B6578B" w:rsidRPr="00B6578B">
        <w:t xml:space="preserve"> </w:t>
      </w:r>
      <w:r w:rsidR="00B6578B" w:rsidRPr="00B6578B">
        <w:rPr>
          <w:rFonts w:eastAsia="MS Mincho"/>
          <w:lang w:val="cs-CZ"/>
        </w:rPr>
        <w:t>nejlépe na základě toho, zda je příjemce služby plátcem či nikoli</w:t>
      </w:r>
      <w:r w:rsidRPr="00CF6BE6">
        <w:rPr>
          <w:rFonts w:eastAsia="MS Mincho"/>
          <w:lang w:val="cs-CZ"/>
        </w:rPr>
        <w:t xml:space="preserve">. Vzhledem k velmi vysokému podílu finančních institucí pod zahraniční kontrolou, z čehož vyplývá odvádění dividend mateřským společnostem mimo ČR, a také </w:t>
      </w:r>
      <w:r w:rsidR="00B6578B">
        <w:rPr>
          <w:rFonts w:eastAsia="MS Mincho"/>
          <w:lang w:val="cs-CZ"/>
        </w:rPr>
        <w:t>vlivem</w:t>
      </w:r>
      <w:r w:rsidRPr="00CF6BE6">
        <w:rPr>
          <w:rFonts w:eastAsia="MS Mincho"/>
          <w:lang w:val="cs-CZ"/>
        </w:rPr>
        <w:t xml:space="preserve"> vysoké</w:t>
      </w:r>
      <w:r w:rsidR="001F4F29">
        <w:rPr>
          <w:rFonts w:eastAsia="MS Mincho"/>
          <w:lang w:val="cs-CZ"/>
        </w:rPr>
        <w:t xml:space="preserve"> státní podpory</w:t>
      </w:r>
      <w:r w:rsidRPr="00CF6BE6">
        <w:rPr>
          <w:rFonts w:eastAsia="MS Mincho"/>
          <w:lang w:val="cs-CZ"/>
        </w:rPr>
        <w:t xml:space="preserve"> </w:t>
      </w:r>
      <w:r w:rsidR="001F4F29">
        <w:rPr>
          <w:rFonts w:eastAsia="MS Mincho"/>
          <w:lang w:val="cs-CZ"/>
        </w:rPr>
        <w:t xml:space="preserve">některých finančních produktů </w:t>
      </w:r>
      <w:r w:rsidRPr="00CF6BE6">
        <w:rPr>
          <w:rFonts w:eastAsia="MS Mincho"/>
          <w:lang w:val="cs-CZ"/>
        </w:rPr>
        <w:t>tohoto sektoru by bylo vhodné dodatečně z</w:t>
      </w:r>
      <w:r w:rsidR="00F7630D">
        <w:rPr>
          <w:rFonts w:eastAsia="MS Mincho"/>
          <w:lang w:val="cs-CZ"/>
        </w:rPr>
        <w:t>danit finanční instituce</w:t>
      </w:r>
      <w:r w:rsidRPr="00CF6BE6">
        <w:rPr>
          <w:rFonts w:eastAsia="MS Mincho"/>
          <w:lang w:val="cs-CZ"/>
        </w:rPr>
        <w:t xml:space="preserve"> prostřednictvím </w:t>
      </w:r>
      <w:r w:rsidR="00B6578B">
        <w:rPr>
          <w:rFonts w:eastAsia="MS Mincho"/>
          <w:lang w:val="cs-CZ"/>
        </w:rPr>
        <w:t>FTT</w:t>
      </w:r>
      <w:r w:rsidR="00F7630D">
        <w:rPr>
          <w:rFonts w:eastAsia="MS Mincho"/>
          <w:lang w:val="cs-CZ"/>
        </w:rPr>
        <w:t xml:space="preserve"> nebo FAT</w:t>
      </w:r>
      <w:r w:rsidRPr="00CF6BE6">
        <w:rPr>
          <w:rFonts w:eastAsia="MS Mincho"/>
          <w:lang w:val="cs-CZ"/>
        </w:rPr>
        <w:t>.</w:t>
      </w:r>
    </w:p>
    <w:p w:rsidR="00E718D8" w:rsidRPr="00A120BA" w:rsidRDefault="00C050F9" w:rsidP="00E718D8">
      <w:pPr>
        <w:pStyle w:val="STINGzdroje"/>
        <w:rPr>
          <w:rFonts w:eastAsia="MS Mincho"/>
          <w:lang w:val="cs-CZ"/>
        </w:rPr>
      </w:pPr>
      <w:r w:rsidRPr="00A120BA">
        <w:rPr>
          <w:rFonts w:eastAsia="MS Mincho"/>
          <w:lang w:val="cs-CZ"/>
        </w:rPr>
        <w:t>Použité zdroje</w:t>
      </w:r>
    </w:p>
    <w:p w:rsidR="00F40B60" w:rsidRPr="00B6578B" w:rsidRDefault="00F40B60" w:rsidP="00F40B60">
      <w:pPr>
        <w:pStyle w:val="STINGzdroj"/>
      </w:pPr>
      <w:r w:rsidRPr="00B6578B">
        <w:t xml:space="preserve">BALÁŽOVÁ, Alena a Martin, DIVIŠ. </w:t>
      </w:r>
      <w:proofErr w:type="spellStart"/>
      <w:r w:rsidRPr="00B6578B">
        <w:t>Nová</w:t>
      </w:r>
      <w:proofErr w:type="spellEnd"/>
      <w:r w:rsidRPr="00B6578B">
        <w:t xml:space="preserve"> </w:t>
      </w:r>
      <w:proofErr w:type="spellStart"/>
      <w:r w:rsidRPr="00B6578B">
        <w:t>příležitost</w:t>
      </w:r>
      <w:proofErr w:type="spellEnd"/>
      <w:r w:rsidRPr="00B6578B">
        <w:t>. Euro, 2008, č. 1, s. 64.</w:t>
      </w:r>
    </w:p>
    <w:p w:rsidR="009A08DB" w:rsidRPr="00B6578B" w:rsidRDefault="009A08DB" w:rsidP="009A08DB">
      <w:pPr>
        <w:pStyle w:val="STINGzdroj"/>
        <w:jc w:val="left"/>
      </w:pPr>
      <w:r w:rsidRPr="00B6578B">
        <w:t xml:space="preserve">CLAESSENS, </w:t>
      </w:r>
      <w:proofErr w:type="spellStart"/>
      <w:r w:rsidRPr="00B6578B">
        <w:t>Stijn</w:t>
      </w:r>
      <w:proofErr w:type="spellEnd"/>
      <w:r w:rsidRPr="00B6578B">
        <w:t xml:space="preserve">, KEEN, Michael, PAZARBASIOGLU, </w:t>
      </w:r>
      <w:proofErr w:type="spellStart"/>
      <w:r w:rsidRPr="00B6578B">
        <w:t>Ceyla</w:t>
      </w:r>
      <w:proofErr w:type="spellEnd"/>
      <w:r w:rsidRPr="00B6578B">
        <w:t xml:space="preserve"> (</w:t>
      </w:r>
      <w:proofErr w:type="gramStart"/>
      <w:r w:rsidRPr="00B6578B">
        <w:t>eds</w:t>
      </w:r>
      <w:proofErr w:type="gramEnd"/>
      <w:r w:rsidRPr="00B6578B">
        <w:t xml:space="preserve">.). Financial Sector Taxation: The IMF’s Report to the G-20 and Background Material. Washington: IMF, 2010. </w:t>
      </w:r>
      <w:proofErr w:type="spellStart"/>
      <w:r w:rsidRPr="00B6578B">
        <w:t>Dostupné</w:t>
      </w:r>
      <w:proofErr w:type="spellEnd"/>
      <w:r w:rsidRPr="00B6578B">
        <w:t xml:space="preserve"> z: </w:t>
      </w:r>
      <w:hyperlink r:id="rId11" w:history="1">
        <w:r w:rsidRPr="00B6578B">
          <w:rPr>
            <w:rStyle w:val="Hypertextovodkaz"/>
          </w:rPr>
          <w:t>http://www.imf.org/external/np/seminars/eng/2010/paris/pdf/090110.pdf</w:t>
        </w:r>
      </w:hyperlink>
    </w:p>
    <w:p w:rsidR="00D24302" w:rsidRPr="00B6578B" w:rsidRDefault="00D24302" w:rsidP="00D24302">
      <w:pPr>
        <w:pStyle w:val="STINGzdroj"/>
      </w:pPr>
      <w:r w:rsidRPr="00B6578B">
        <w:t xml:space="preserve">ČESKO. </w:t>
      </w:r>
      <w:proofErr w:type="spellStart"/>
      <w:r w:rsidRPr="00B6578B">
        <w:t>Zákon</w:t>
      </w:r>
      <w:proofErr w:type="spellEnd"/>
      <w:r w:rsidRPr="00B6578B">
        <w:t xml:space="preserve"> č. 235/2004 Sb., o </w:t>
      </w:r>
      <w:proofErr w:type="spellStart"/>
      <w:r w:rsidRPr="00B6578B">
        <w:t>dani</w:t>
      </w:r>
      <w:proofErr w:type="spellEnd"/>
      <w:r w:rsidRPr="00B6578B">
        <w:t xml:space="preserve"> z </w:t>
      </w:r>
      <w:proofErr w:type="spellStart"/>
      <w:r w:rsidRPr="00B6578B">
        <w:t>přidané</w:t>
      </w:r>
      <w:proofErr w:type="spellEnd"/>
      <w:r w:rsidRPr="00B6578B">
        <w:t xml:space="preserve"> </w:t>
      </w:r>
      <w:proofErr w:type="spellStart"/>
      <w:r w:rsidRPr="00B6578B">
        <w:t>hodnoty</w:t>
      </w:r>
      <w:proofErr w:type="spellEnd"/>
      <w:r w:rsidRPr="00B6578B">
        <w:t xml:space="preserve">, </w:t>
      </w:r>
      <w:proofErr w:type="spellStart"/>
      <w:r w:rsidRPr="00B6578B">
        <w:t>ve</w:t>
      </w:r>
      <w:proofErr w:type="spellEnd"/>
      <w:r w:rsidRPr="00B6578B">
        <w:t xml:space="preserve"> </w:t>
      </w:r>
      <w:proofErr w:type="spellStart"/>
      <w:r w:rsidRPr="00B6578B">
        <w:t>znění</w:t>
      </w:r>
      <w:proofErr w:type="spellEnd"/>
      <w:r w:rsidRPr="00B6578B">
        <w:t xml:space="preserve"> </w:t>
      </w:r>
      <w:proofErr w:type="spellStart"/>
      <w:r w:rsidRPr="00B6578B">
        <w:t>pozdějších</w:t>
      </w:r>
      <w:proofErr w:type="spellEnd"/>
      <w:r w:rsidRPr="00B6578B">
        <w:t xml:space="preserve"> </w:t>
      </w:r>
      <w:proofErr w:type="spellStart"/>
      <w:r w:rsidRPr="00B6578B">
        <w:t>předpisů</w:t>
      </w:r>
      <w:proofErr w:type="spellEnd"/>
      <w:r w:rsidRPr="00B6578B">
        <w:t>.</w:t>
      </w:r>
    </w:p>
    <w:p w:rsidR="009C24FE" w:rsidRPr="00B6578B" w:rsidRDefault="009C24FE" w:rsidP="009C24FE">
      <w:pPr>
        <w:pStyle w:val="STINGzdroj"/>
      </w:pPr>
      <w:r w:rsidRPr="00B6578B">
        <w:t xml:space="preserve">ČSÚ. </w:t>
      </w:r>
      <w:proofErr w:type="spellStart"/>
      <w:r w:rsidRPr="00B6578B">
        <w:t>Historická</w:t>
      </w:r>
      <w:proofErr w:type="spellEnd"/>
      <w:r w:rsidRPr="00B6578B">
        <w:t xml:space="preserve"> </w:t>
      </w:r>
      <w:proofErr w:type="spellStart"/>
      <w:r w:rsidRPr="00B6578B">
        <w:t>ročenka</w:t>
      </w:r>
      <w:proofErr w:type="spellEnd"/>
      <w:r w:rsidRPr="00B6578B">
        <w:t xml:space="preserve"> </w:t>
      </w:r>
      <w:proofErr w:type="spellStart"/>
      <w:r w:rsidRPr="00B6578B">
        <w:t>národních</w:t>
      </w:r>
      <w:proofErr w:type="spellEnd"/>
      <w:r w:rsidRPr="00B6578B">
        <w:t xml:space="preserve"> </w:t>
      </w:r>
      <w:proofErr w:type="spellStart"/>
      <w:r w:rsidRPr="00B6578B">
        <w:t>účtů</w:t>
      </w:r>
      <w:proofErr w:type="spellEnd"/>
      <w:r w:rsidRPr="00B6578B">
        <w:t xml:space="preserve"> 1990 - 2010. Praha: ČSÚ, 2015. 389 s. ISBN 978-80-250-2177-4. </w:t>
      </w:r>
      <w:proofErr w:type="spellStart"/>
      <w:r w:rsidRPr="00B6578B">
        <w:t>Dostupné</w:t>
      </w:r>
      <w:proofErr w:type="spellEnd"/>
      <w:r w:rsidRPr="00B6578B">
        <w:t xml:space="preserve"> z: </w:t>
      </w:r>
      <w:hyperlink r:id="rId12" w:history="1">
        <w:r w:rsidRPr="00B6578B">
          <w:rPr>
            <w:rStyle w:val="Hypertextovodkaz"/>
          </w:rPr>
          <w:t>https://www.czso.cz/documents/10180/20534668/a-1158-11a04+opr.pdf/5c88414b-4829-4942-8641-5de9bcd8e6a1?version=1.0</w:t>
        </w:r>
      </w:hyperlink>
    </w:p>
    <w:p w:rsidR="0063689C" w:rsidRPr="00B6578B" w:rsidRDefault="0063689C" w:rsidP="0063689C">
      <w:pPr>
        <w:pStyle w:val="STINGzdroj"/>
        <w:jc w:val="left"/>
      </w:pPr>
      <w:r w:rsidRPr="00B6578B">
        <w:t xml:space="preserve">DELACROIX, Patrice. Taxation of the Financial Sector: State of the Play. Presentation to </w:t>
      </w:r>
      <w:proofErr w:type="gramStart"/>
      <w:r w:rsidRPr="00B6578B">
        <w:t>The</w:t>
      </w:r>
      <w:proofErr w:type="gramEnd"/>
      <w:r w:rsidRPr="00B6578B">
        <w:t xml:space="preserve"> Brussels Tax Forum, 28 March 2011. </w:t>
      </w:r>
      <w:proofErr w:type="spellStart"/>
      <w:r w:rsidRPr="00B6578B">
        <w:t>Dostupné</w:t>
      </w:r>
      <w:proofErr w:type="spellEnd"/>
      <w:r w:rsidRPr="00B6578B">
        <w:t xml:space="preserve"> z: </w:t>
      </w:r>
      <w:hyperlink r:id="rId13" w:history="1">
        <w:r w:rsidR="000D02BC" w:rsidRPr="00B6578B">
          <w:rPr>
            <w:rStyle w:val="Hypertextovodkaz"/>
          </w:rPr>
          <w:t>http://ec.europa.eu/taxation_customs/resources/documents/taxation/gen_info/conferences/taxforum2011/delacroix_ppt.pdf</w:t>
        </w:r>
      </w:hyperlink>
    </w:p>
    <w:p w:rsidR="001E0CF4" w:rsidRPr="00B6578B" w:rsidRDefault="001E0CF4" w:rsidP="001E0CF4">
      <w:pPr>
        <w:pStyle w:val="STINGzdroj"/>
        <w:jc w:val="left"/>
      </w:pPr>
      <w:r w:rsidRPr="00B6578B">
        <w:t xml:space="preserve">IMF. </w:t>
      </w:r>
      <w:r w:rsidRPr="00B6578B">
        <w:rPr>
          <w:i/>
        </w:rPr>
        <w:t xml:space="preserve">A Fair and Substantial Contribution by the Financial Sector. Final Report for the G-20. </w:t>
      </w:r>
      <w:r w:rsidRPr="00B6578B">
        <w:t xml:space="preserve">Washington, 2010. </w:t>
      </w:r>
      <w:proofErr w:type="spellStart"/>
      <w:r w:rsidRPr="00B6578B">
        <w:t>Dostupné</w:t>
      </w:r>
      <w:proofErr w:type="spellEnd"/>
      <w:r w:rsidRPr="00B6578B">
        <w:t xml:space="preserve"> z: </w:t>
      </w:r>
      <w:hyperlink r:id="rId14" w:history="1">
        <w:r w:rsidRPr="00B6578B">
          <w:rPr>
            <w:rStyle w:val="Hypertextovodkaz"/>
          </w:rPr>
          <w:t>http://www.imf.org/external/np/g20/pdf/062710b.pdf</w:t>
        </w:r>
      </w:hyperlink>
    </w:p>
    <w:p w:rsidR="0056755F" w:rsidRPr="00EB104D" w:rsidRDefault="0056755F" w:rsidP="00904096">
      <w:pPr>
        <w:pStyle w:val="STINGzdroj"/>
      </w:pPr>
      <w:r w:rsidRPr="00B6578B">
        <w:rPr>
          <w:rFonts w:ascii="Open Sans" w:hAnsi="Open Sans"/>
          <w:color w:val="000000"/>
        </w:rPr>
        <w:t xml:space="preserve">LEGIERSKÁ, </w:t>
      </w:r>
      <w:proofErr w:type="spellStart"/>
      <w:r w:rsidRPr="00B6578B">
        <w:rPr>
          <w:rFonts w:ascii="Open Sans" w:hAnsi="Open Sans"/>
          <w:color w:val="000000"/>
        </w:rPr>
        <w:t>Yvona</w:t>
      </w:r>
      <w:proofErr w:type="spellEnd"/>
      <w:r w:rsidRPr="00B6578B">
        <w:rPr>
          <w:rFonts w:ascii="Open Sans" w:hAnsi="Open Sans"/>
          <w:color w:val="000000"/>
        </w:rPr>
        <w:t xml:space="preserve">. </w:t>
      </w:r>
      <w:proofErr w:type="spellStart"/>
      <w:r w:rsidRPr="00B6578B">
        <w:rPr>
          <w:rFonts w:ascii="Open Sans" w:hAnsi="Open Sans"/>
          <w:i/>
          <w:iCs/>
          <w:color w:val="000000"/>
        </w:rPr>
        <w:t>Vybrané</w:t>
      </w:r>
      <w:proofErr w:type="spellEnd"/>
      <w:r w:rsidRPr="00B6578B">
        <w:rPr>
          <w:rFonts w:ascii="Open Sans" w:hAnsi="Open Sans"/>
          <w:i/>
          <w:iCs/>
          <w:color w:val="000000"/>
        </w:rPr>
        <w:t xml:space="preserve"> </w:t>
      </w:r>
      <w:proofErr w:type="spellStart"/>
      <w:r w:rsidRPr="00B6578B">
        <w:rPr>
          <w:rFonts w:ascii="Open Sans" w:hAnsi="Open Sans"/>
          <w:i/>
          <w:iCs/>
          <w:color w:val="000000"/>
        </w:rPr>
        <w:t>problémy</w:t>
      </w:r>
      <w:proofErr w:type="spellEnd"/>
      <w:r w:rsidRPr="00B6578B">
        <w:rPr>
          <w:rFonts w:ascii="Open Sans" w:hAnsi="Open Sans"/>
          <w:i/>
          <w:iCs/>
          <w:color w:val="000000"/>
        </w:rPr>
        <w:t xml:space="preserve"> </w:t>
      </w:r>
      <w:proofErr w:type="spellStart"/>
      <w:r w:rsidRPr="00B6578B">
        <w:rPr>
          <w:rFonts w:ascii="Open Sans" w:hAnsi="Open Sans"/>
          <w:i/>
          <w:iCs/>
          <w:color w:val="000000"/>
        </w:rPr>
        <w:t>teorie</w:t>
      </w:r>
      <w:proofErr w:type="spellEnd"/>
      <w:r w:rsidRPr="00B6578B">
        <w:rPr>
          <w:rFonts w:ascii="Open Sans" w:hAnsi="Open Sans"/>
          <w:i/>
          <w:iCs/>
          <w:color w:val="000000"/>
        </w:rPr>
        <w:t xml:space="preserve"> a </w:t>
      </w:r>
      <w:proofErr w:type="spellStart"/>
      <w:r w:rsidRPr="00B6578B">
        <w:rPr>
          <w:rFonts w:ascii="Open Sans" w:hAnsi="Open Sans"/>
          <w:i/>
          <w:iCs/>
          <w:color w:val="000000"/>
        </w:rPr>
        <w:t>praxe</w:t>
      </w:r>
      <w:proofErr w:type="spellEnd"/>
      <w:r w:rsidRPr="00B6578B">
        <w:rPr>
          <w:rFonts w:ascii="Open Sans" w:hAnsi="Open Sans"/>
          <w:i/>
          <w:iCs/>
          <w:color w:val="000000"/>
        </w:rPr>
        <w:t xml:space="preserve"> </w:t>
      </w:r>
      <w:proofErr w:type="spellStart"/>
      <w:proofErr w:type="gramStart"/>
      <w:r w:rsidRPr="00B6578B">
        <w:rPr>
          <w:rFonts w:ascii="Open Sans" w:hAnsi="Open Sans"/>
          <w:i/>
          <w:iCs/>
          <w:color w:val="000000"/>
        </w:rPr>
        <w:t>daně</w:t>
      </w:r>
      <w:proofErr w:type="spellEnd"/>
      <w:proofErr w:type="gramEnd"/>
      <w:r w:rsidRPr="00B6578B">
        <w:rPr>
          <w:rFonts w:ascii="Open Sans" w:hAnsi="Open Sans"/>
          <w:i/>
          <w:iCs/>
          <w:color w:val="000000"/>
        </w:rPr>
        <w:t xml:space="preserve"> z </w:t>
      </w:r>
      <w:proofErr w:type="spellStart"/>
      <w:r w:rsidRPr="00B6578B">
        <w:rPr>
          <w:rFonts w:ascii="Open Sans" w:hAnsi="Open Sans"/>
          <w:i/>
          <w:iCs/>
          <w:color w:val="000000"/>
        </w:rPr>
        <w:t>přidané</w:t>
      </w:r>
      <w:proofErr w:type="spellEnd"/>
      <w:r w:rsidRPr="00B6578B">
        <w:rPr>
          <w:rFonts w:ascii="Open Sans" w:hAnsi="Open Sans"/>
          <w:i/>
          <w:iCs/>
          <w:color w:val="000000"/>
        </w:rPr>
        <w:t xml:space="preserve"> </w:t>
      </w:r>
      <w:proofErr w:type="spellStart"/>
      <w:r w:rsidRPr="00B6578B">
        <w:rPr>
          <w:rFonts w:ascii="Open Sans" w:hAnsi="Open Sans"/>
          <w:i/>
          <w:iCs/>
          <w:color w:val="000000"/>
        </w:rPr>
        <w:t>hodnoty</w:t>
      </w:r>
      <w:proofErr w:type="spellEnd"/>
      <w:r w:rsidRPr="00B6578B">
        <w:rPr>
          <w:rFonts w:ascii="Open Sans" w:hAnsi="Open Sans"/>
          <w:color w:val="000000"/>
        </w:rPr>
        <w:t xml:space="preserve">. Praha, 2016. </w:t>
      </w:r>
      <w:proofErr w:type="spellStart"/>
      <w:r w:rsidRPr="00B6578B">
        <w:rPr>
          <w:rFonts w:ascii="Open Sans" w:hAnsi="Open Sans"/>
          <w:color w:val="000000"/>
        </w:rPr>
        <w:t>Doktorská</w:t>
      </w:r>
      <w:proofErr w:type="spellEnd"/>
      <w:r w:rsidRPr="00B6578B">
        <w:rPr>
          <w:rFonts w:ascii="Open Sans" w:hAnsi="Open Sans"/>
          <w:color w:val="000000"/>
        </w:rPr>
        <w:t xml:space="preserve"> </w:t>
      </w:r>
      <w:proofErr w:type="spellStart"/>
      <w:r w:rsidRPr="00B6578B">
        <w:rPr>
          <w:rFonts w:ascii="Open Sans" w:hAnsi="Open Sans"/>
          <w:color w:val="000000"/>
        </w:rPr>
        <w:t>disertační</w:t>
      </w:r>
      <w:proofErr w:type="spellEnd"/>
      <w:r w:rsidRPr="00B6578B">
        <w:rPr>
          <w:rFonts w:ascii="Open Sans" w:hAnsi="Open Sans"/>
          <w:color w:val="000000"/>
        </w:rPr>
        <w:t xml:space="preserve"> </w:t>
      </w:r>
      <w:proofErr w:type="spellStart"/>
      <w:r w:rsidRPr="00B6578B">
        <w:rPr>
          <w:rFonts w:ascii="Open Sans" w:hAnsi="Open Sans"/>
          <w:color w:val="000000"/>
        </w:rPr>
        <w:t>práce</w:t>
      </w:r>
      <w:proofErr w:type="spellEnd"/>
      <w:r w:rsidRPr="00B6578B">
        <w:rPr>
          <w:rFonts w:ascii="Open Sans" w:hAnsi="Open Sans"/>
          <w:color w:val="000000"/>
        </w:rPr>
        <w:t xml:space="preserve">. VŠFS. </w:t>
      </w:r>
      <w:proofErr w:type="spellStart"/>
      <w:r w:rsidRPr="00B6578B">
        <w:rPr>
          <w:rFonts w:ascii="Open Sans" w:hAnsi="Open Sans"/>
          <w:color w:val="000000"/>
        </w:rPr>
        <w:t>Vedoucí</w:t>
      </w:r>
      <w:proofErr w:type="spellEnd"/>
      <w:r w:rsidRPr="00B6578B">
        <w:rPr>
          <w:rFonts w:ascii="Open Sans" w:hAnsi="Open Sans"/>
          <w:color w:val="000000"/>
        </w:rPr>
        <w:t xml:space="preserve"> </w:t>
      </w:r>
      <w:proofErr w:type="spellStart"/>
      <w:r w:rsidRPr="00B6578B">
        <w:rPr>
          <w:rFonts w:ascii="Open Sans" w:hAnsi="Open Sans"/>
          <w:color w:val="000000"/>
        </w:rPr>
        <w:t>práce</w:t>
      </w:r>
      <w:proofErr w:type="spellEnd"/>
      <w:r w:rsidRPr="00B6578B">
        <w:rPr>
          <w:rFonts w:ascii="Open Sans" w:hAnsi="Open Sans"/>
          <w:color w:val="000000"/>
        </w:rPr>
        <w:t xml:space="preserve"> Jaroslav </w:t>
      </w:r>
      <w:proofErr w:type="spellStart"/>
      <w:r w:rsidRPr="00B6578B">
        <w:rPr>
          <w:rFonts w:ascii="Open Sans" w:hAnsi="Open Sans"/>
          <w:color w:val="000000"/>
        </w:rPr>
        <w:t>Vostatek</w:t>
      </w:r>
      <w:proofErr w:type="spellEnd"/>
      <w:r w:rsidRPr="00B6578B">
        <w:rPr>
          <w:rFonts w:ascii="Open Sans" w:hAnsi="Open Sans"/>
          <w:color w:val="000000"/>
        </w:rPr>
        <w:t>.</w:t>
      </w:r>
    </w:p>
    <w:p w:rsidR="00EB104D" w:rsidRDefault="00EB104D" w:rsidP="00EB104D">
      <w:pPr>
        <w:pStyle w:val="STINGzdroj"/>
        <w:jc w:val="left"/>
      </w:pPr>
      <w:r>
        <w:t xml:space="preserve">MINISTERSTVO FINANCÍ ČR. </w:t>
      </w:r>
      <w:proofErr w:type="spellStart"/>
      <w:r>
        <w:t>Státní</w:t>
      </w:r>
      <w:proofErr w:type="spellEnd"/>
      <w:r>
        <w:t xml:space="preserve"> </w:t>
      </w:r>
      <w:proofErr w:type="spellStart"/>
      <w:r>
        <w:t>závěrečné</w:t>
      </w:r>
      <w:proofErr w:type="spellEnd"/>
      <w:r>
        <w:t xml:space="preserve"> </w:t>
      </w:r>
      <w:proofErr w:type="spellStart"/>
      <w:r>
        <w:t>účty</w:t>
      </w:r>
      <w:proofErr w:type="spellEnd"/>
      <w:r>
        <w:t xml:space="preserve"> </w:t>
      </w:r>
      <w:proofErr w:type="spellStart"/>
      <w:r>
        <w:t>za</w:t>
      </w:r>
      <w:proofErr w:type="spellEnd"/>
      <w:r>
        <w:t xml:space="preserve"> </w:t>
      </w:r>
      <w:proofErr w:type="spellStart"/>
      <w:r>
        <w:t>roky</w:t>
      </w:r>
      <w:proofErr w:type="spellEnd"/>
      <w:r>
        <w:t xml:space="preserve"> 2002 </w:t>
      </w:r>
      <w:proofErr w:type="spellStart"/>
      <w:r>
        <w:t>až</w:t>
      </w:r>
      <w:proofErr w:type="spellEnd"/>
      <w:r>
        <w:t xml:space="preserve"> 2013. </w:t>
      </w:r>
      <w:proofErr w:type="spellStart"/>
      <w:r>
        <w:t>Dostupné</w:t>
      </w:r>
      <w:proofErr w:type="spellEnd"/>
      <w:r>
        <w:t xml:space="preserve"> z: </w:t>
      </w:r>
      <w:hyperlink r:id="rId15" w:history="1">
        <w:r w:rsidRPr="00760C6C">
          <w:rPr>
            <w:rStyle w:val="Hypertextovodkaz"/>
          </w:rPr>
          <w:t>http://www.mfcr.cz/cs/vyhledavani?q=st%C3%A1tn%C3%AD+z%C3%A1v%C4%9Bre%C4%8Dn%C3%BD+%C3%BA%C4%8Det</w:t>
        </w:r>
      </w:hyperlink>
    </w:p>
    <w:p w:rsidR="00F14AD0" w:rsidRPr="00B6578B" w:rsidRDefault="00904096" w:rsidP="00904096">
      <w:pPr>
        <w:pStyle w:val="STINGzdroj"/>
        <w:rPr>
          <w:rStyle w:val="Hypertextovodkaz"/>
          <w:color w:val="auto"/>
          <w:u w:val="none"/>
        </w:rPr>
      </w:pPr>
      <w:r w:rsidRPr="00B6578B">
        <w:t xml:space="preserve">OECD. </w:t>
      </w:r>
      <w:r w:rsidRPr="00B6578B">
        <w:rPr>
          <w:i/>
        </w:rPr>
        <w:t>Date. Value-added in financial corporations</w:t>
      </w:r>
      <w:r w:rsidRPr="00B6578B">
        <w:t xml:space="preserve"> [online]. 2015 [</w:t>
      </w:r>
      <w:proofErr w:type="spellStart"/>
      <w:r w:rsidRPr="00B6578B">
        <w:t>přístup</w:t>
      </w:r>
      <w:proofErr w:type="spellEnd"/>
      <w:r w:rsidRPr="00B6578B">
        <w:t xml:space="preserve"> 19. </w:t>
      </w:r>
      <w:proofErr w:type="spellStart"/>
      <w:r w:rsidRPr="00B6578B">
        <w:t>srpna</w:t>
      </w:r>
      <w:proofErr w:type="spellEnd"/>
      <w:r w:rsidRPr="00B6578B">
        <w:t xml:space="preserve"> 2016]. </w:t>
      </w:r>
      <w:proofErr w:type="spellStart"/>
      <w:r w:rsidRPr="00B6578B">
        <w:t>Dostupné</w:t>
      </w:r>
      <w:proofErr w:type="spellEnd"/>
      <w:r w:rsidRPr="00B6578B">
        <w:t xml:space="preserve"> z: </w:t>
      </w:r>
      <w:hyperlink r:id="rId16" w:history="1">
        <w:r w:rsidR="00EF010C" w:rsidRPr="00B6578B">
          <w:rPr>
            <w:rStyle w:val="Hypertextovodkaz"/>
          </w:rPr>
          <w:t>https://data.oecd.org/corporate/value-added-in-financial-corporations.htm</w:t>
        </w:r>
      </w:hyperlink>
    </w:p>
    <w:p w:rsidR="00E707DD" w:rsidRPr="00B6578B" w:rsidRDefault="00E707DD" w:rsidP="00E707DD">
      <w:pPr>
        <w:pStyle w:val="STINGzdroj"/>
      </w:pPr>
      <w:r w:rsidRPr="00B6578B">
        <w:t xml:space="preserve">PÁTEK, </w:t>
      </w:r>
      <w:proofErr w:type="spellStart"/>
      <w:r w:rsidRPr="00B6578B">
        <w:t>Václav</w:t>
      </w:r>
      <w:proofErr w:type="spellEnd"/>
      <w:r w:rsidRPr="00B6578B">
        <w:t xml:space="preserve">. </w:t>
      </w:r>
      <w:r w:rsidRPr="00B6578B">
        <w:rPr>
          <w:i/>
        </w:rPr>
        <w:t xml:space="preserve">DPH u </w:t>
      </w:r>
      <w:proofErr w:type="spellStart"/>
      <w:r w:rsidRPr="00B6578B">
        <w:rPr>
          <w:i/>
        </w:rPr>
        <w:t>finančních</w:t>
      </w:r>
      <w:proofErr w:type="spellEnd"/>
      <w:r w:rsidRPr="00B6578B">
        <w:rPr>
          <w:i/>
        </w:rPr>
        <w:t xml:space="preserve"> a </w:t>
      </w:r>
      <w:proofErr w:type="spellStart"/>
      <w:r w:rsidRPr="00B6578B">
        <w:rPr>
          <w:i/>
        </w:rPr>
        <w:t>pojišťovacích</w:t>
      </w:r>
      <w:proofErr w:type="spellEnd"/>
      <w:r w:rsidRPr="00B6578B">
        <w:rPr>
          <w:i/>
        </w:rPr>
        <w:t xml:space="preserve"> </w:t>
      </w:r>
      <w:proofErr w:type="spellStart"/>
      <w:r w:rsidRPr="00B6578B">
        <w:rPr>
          <w:i/>
        </w:rPr>
        <w:t>služeb</w:t>
      </w:r>
      <w:proofErr w:type="spellEnd"/>
      <w:r w:rsidRPr="00B6578B">
        <w:rPr>
          <w:i/>
        </w:rPr>
        <w:t xml:space="preserve"> </w:t>
      </w:r>
      <w:proofErr w:type="spellStart"/>
      <w:r w:rsidRPr="00B6578B">
        <w:rPr>
          <w:i/>
        </w:rPr>
        <w:t>nejen</w:t>
      </w:r>
      <w:proofErr w:type="spellEnd"/>
      <w:r w:rsidRPr="00B6578B">
        <w:rPr>
          <w:i/>
        </w:rPr>
        <w:t xml:space="preserve"> pro </w:t>
      </w:r>
      <w:proofErr w:type="spellStart"/>
      <w:r w:rsidRPr="00B6578B">
        <w:rPr>
          <w:i/>
        </w:rPr>
        <w:t>banky</w:t>
      </w:r>
      <w:proofErr w:type="spellEnd"/>
      <w:r w:rsidRPr="00B6578B">
        <w:rPr>
          <w:i/>
        </w:rPr>
        <w:t xml:space="preserve"> a </w:t>
      </w:r>
      <w:proofErr w:type="spellStart"/>
      <w:r w:rsidRPr="00B6578B">
        <w:rPr>
          <w:i/>
        </w:rPr>
        <w:t>pojišťovny</w:t>
      </w:r>
      <w:proofErr w:type="spellEnd"/>
      <w:r w:rsidRPr="00B6578B">
        <w:rPr>
          <w:i/>
        </w:rPr>
        <w:t>.</w:t>
      </w:r>
      <w:r w:rsidRPr="00B6578B">
        <w:t xml:space="preserve"> </w:t>
      </w:r>
      <w:proofErr w:type="spellStart"/>
      <w:r w:rsidRPr="00B6578B">
        <w:t>Právo</w:t>
      </w:r>
      <w:proofErr w:type="spellEnd"/>
      <w:r w:rsidRPr="00B6578B">
        <w:t xml:space="preserve"> ES v </w:t>
      </w:r>
      <w:proofErr w:type="spellStart"/>
      <w:r w:rsidRPr="00B6578B">
        <w:t>praxi</w:t>
      </w:r>
      <w:proofErr w:type="spellEnd"/>
      <w:r w:rsidRPr="00B6578B">
        <w:t xml:space="preserve">. 1. </w:t>
      </w:r>
      <w:proofErr w:type="spellStart"/>
      <w:proofErr w:type="gramStart"/>
      <w:r w:rsidRPr="00B6578B">
        <w:t>vydání</w:t>
      </w:r>
      <w:proofErr w:type="spellEnd"/>
      <w:proofErr w:type="gramEnd"/>
      <w:r w:rsidRPr="00B6578B">
        <w:t>. Praha: C. H. Beck, 2008. 110 s. ISBN 978-80-7400-001-0.</w:t>
      </w:r>
    </w:p>
    <w:p w:rsidR="00500492" w:rsidRDefault="00500492" w:rsidP="00500492">
      <w:pPr>
        <w:pStyle w:val="STINGzdroj"/>
      </w:pPr>
      <w:r w:rsidRPr="00B6578B">
        <w:lastRenderedPageBreak/>
        <w:t xml:space="preserve">SCHENK, Alan. Taxation of financial services (including insurance) under a United States value added tax. ATPI, 2009. </w:t>
      </w:r>
      <w:r w:rsidR="00003709">
        <w:t>27 s.</w:t>
      </w:r>
      <w:r w:rsidRPr="00B6578B">
        <w:t xml:space="preserve"> </w:t>
      </w:r>
      <w:proofErr w:type="spellStart"/>
      <w:r w:rsidRPr="00B6578B">
        <w:t>Dostupné</w:t>
      </w:r>
      <w:proofErr w:type="spellEnd"/>
      <w:r w:rsidRPr="00B6578B">
        <w:t xml:space="preserve"> z: </w:t>
      </w:r>
      <w:hyperlink r:id="rId17" w:history="1">
        <w:r w:rsidR="00B6578B" w:rsidRPr="00760C6C">
          <w:rPr>
            <w:rStyle w:val="Hypertextovodkaz"/>
          </w:rPr>
          <w:t>http://www.americantaxpolicyinstitute.org/pdf/VAT/Schenk.pdf</w:t>
        </w:r>
      </w:hyperlink>
    </w:p>
    <w:p w:rsidR="00EF010C" w:rsidRPr="00B6578B" w:rsidRDefault="00EF010C" w:rsidP="00EF010C">
      <w:pPr>
        <w:pStyle w:val="STINGzdroj"/>
      </w:pPr>
      <w:r w:rsidRPr="00B6578B">
        <w:t xml:space="preserve">SMĚRNICE RADY 2006/112/ES </w:t>
      </w:r>
      <w:proofErr w:type="spellStart"/>
      <w:r w:rsidRPr="00B6578B">
        <w:t>ze</w:t>
      </w:r>
      <w:proofErr w:type="spellEnd"/>
      <w:r w:rsidRPr="00B6578B">
        <w:t xml:space="preserve"> </w:t>
      </w:r>
      <w:proofErr w:type="spellStart"/>
      <w:r w:rsidRPr="00B6578B">
        <w:t>dne</w:t>
      </w:r>
      <w:proofErr w:type="spellEnd"/>
      <w:r w:rsidRPr="00B6578B">
        <w:t xml:space="preserve"> 28. </w:t>
      </w:r>
      <w:proofErr w:type="spellStart"/>
      <w:proofErr w:type="gramStart"/>
      <w:r w:rsidRPr="00B6578B">
        <w:t>listopadu</w:t>
      </w:r>
      <w:proofErr w:type="spellEnd"/>
      <w:proofErr w:type="gramEnd"/>
      <w:r w:rsidRPr="00B6578B">
        <w:t xml:space="preserve"> 2006 o </w:t>
      </w:r>
      <w:proofErr w:type="spellStart"/>
      <w:r w:rsidRPr="00B6578B">
        <w:t>společném</w:t>
      </w:r>
      <w:proofErr w:type="spellEnd"/>
      <w:r w:rsidRPr="00B6578B">
        <w:t xml:space="preserve"> </w:t>
      </w:r>
      <w:proofErr w:type="spellStart"/>
      <w:r w:rsidRPr="00B6578B">
        <w:t>systému</w:t>
      </w:r>
      <w:proofErr w:type="spellEnd"/>
      <w:r w:rsidRPr="00B6578B">
        <w:t xml:space="preserve"> </w:t>
      </w:r>
      <w:proofErr w:type="spellStart"/>
      <w:r w:rsidRPr="00B6578B">
        <w:t>daně</w:t>
      </w:r>
      <w:proofErr w:type="spellEnd"/>
      <w:r w:rsidRPr="00B6578B">
        <w:t xml:space="preserve"> z </w:t>
      </w:r>
      <w:proofErr w:type="spellStart"/>
      <w:r w:rsidRPr="00B6578B">
        <w:t>přidané</w:t>
      </w:r>
      <w:proofErr w:type="spellEnd"/>
      <w:r w:rsidRPr="00B6578B">
        <w:t xml:space="preserve"> </w:t>
      </w:r>
      <w:proofErr w:type="spellStart"/>
      <w:r w:rsidRPr="00B6578B">
        <w:t>hodnoty</w:t>
      </w:r>
      <w:proofErr w:type="spellEnd"/>
      <w:r w:rsidRPr="00B6578B">
        <w:t>.</w:t>
      </w:r>
    </w:p>
    <w:p w:rsidR="007C03E7" w:rsidRPr="00B6578B" w:rsidRDefault="007C03E7" w:rsidP="007C03E7">
      <w:pPr>
        <w:pStyle w:val="STINGzdroj"/>
      </w:pPr>
      <w:r w:rsidRPr="00B6578B">
        <w:t xml:space="preserve">SMĚRNICE RADY 2011/0261 o </w:t>
      </w:r>
      <w:proofErr w:type="spellStart"/>
      <w:r w:rsidRPr="00B6578B">
        <w:t>společném</w:t>
      </w:r>
      <w:proofErr w:type="spellEnd"/>
      <w:r w:rsidRPr="00B6578B">
        <w:t xml:space="preserve"> </w:t>
      </w:r>
      <w:proofErr w:type="spellStart"/>
      <w:r w:rsidRPr="00B6578B">
        <w:t>systému</w:t>
      </w:r>
      <w:proofErr w:type="spellEnd"/>
      <w:r w:rsidRPr="00B6578B">
        <w:t xml:space="preserve"> </w:t>
      </w:r>
      <w:proofErr w:type="spellStart"/>
      <w:proofErr w:type="gramStart"/>
      <w:r w:rsidRPr="00B6578B">
        <w:t>daně</w:t>
      </w:r>
      <w:proofErr w:type="spellEnd"/>
      <w:proofErr w:type="gramEnd"/>
      <w:r w:rsidRPr="00B6578B">
        <w:t xml:space="preserve"> z </w:t>
      </w:r>
      <w:proofErr w:type="spellStart"/>
      <w:r w:rsidRPr="00B6578B">
        <w:t>finančních</w:t>
      </w:r>
      <w:proofErr w:type="spellEnd"/>
      <w:r w:rsidRPr="00B6578B">
        <w:t xml:space="preserve"> </w:t>
      </w:r>
      <w:proofErr w:type="spellStart"/>
      <w:r w:rsidRPr="00B6578B">
        <w:t>transakcí</w:t>
      </w:r>
      <w:proofErr w:type="spellEnd"/>
      <w:r w:rsidRPr="00B6578B">
        <w:t xml:space="preserve"> a </w:t>
      </w:r>
      <w:proofErr w:type="spellStart"/>
      <w:r w:rsidRPr="00B6578B">
        <w:t>změně</w:t>
      </w:r>
      <w:proofErr w:type="spellEnd"/>
      <w:r w:rsidRPr="00B6578B">
        <w:t xml:space="preserve"> </w:t>
      </w:r>
      <w:proofErr w:type="spellStart"/>
      <w:r w:rsidRPr="00B6578B">
        <w:t>směrnice</w:t>
      </w:r>
      <w:proofErr w:type="spellEnd"/>
      <w:r w:rsidRPr="00B6578B">
        <w:t xml:space="preserve"> 2008/7/ES. </w:t>
      </w:r>
    </w:p>
    <w:p w:rsidR="00F14AD0" w:rsidRPr="004C13E9" w:rsidRDefault="00782D52" w:rsidP="00F14AD0">
      <w:pPr>
        <w:pStyle w:val="STINGzdroj"/>
        <w:rPr>
          <w:lang w:val="cs-CZ"/>
        </w:rPr>
      </w:pPr>
      <w:r w:rsidRPr="00B6578B">
        <w:t xml:space="preserve">ŠINDELÁŘ, </w:t>
      </w:r>
      <w:proofErr w:type="spellStart"/>
      <w:r w:rsidRPr="00B6578B">
        <w:t>Jiří</w:t>
      </w:r>
      <w:proofErr w:type="spellEnd"/>
      <w:r w:rsidRPr="00B6578B">
        <w:t xml:space="preserve"> a Jan, ŠINDELÁŘ. </w:t>
      </w:r>
      <w:proofErr w:type="spellStart"/>
      <w:r w:rsidRPr="00B6578B">
        <w:rPr>
          <w:i/>
        </w:rPr>
        <w:t>Daň</w:t>
      </w:r>
      <w:proofErr w:type="spellEnd"/>
      <w:r w:rsidRPr="00B6578B">
        <w:rPr>
          <w:i/>
        </w:rPr>
        <w:t xml:space="preserve"> z </w:t>
      </w:r>
      <w:proofErr w:type="spellStart"/>
      <w:r w:rsidRPr="00B6578B">
        <w:rPr>
          <w:i/>
        </w:rPr>
        <w:t>přidané</w:t>
      </w:r>
      <w:proofErr w:type="spellEnd"/>
      <w:r w:rsidRPr="00B6578B">
        <w:rPr>
          <w:i/>
        </w:rPr>
        <w:t xml:space="preserve"> </w:t>
      </w:r>
      <w:proofErr w:type="spellStart"/>
      <w:r w:rsidRPr="00B6578B">
        <w:rPr>
          <w:i/>
        </w:rPr>
        <w:t>hodnoty</w:t>
      </w:r>
      <w:proofErr w:type="spellEnd"/>
      <w:r w:rsidRPr="00B6578B">
        <w:rPr>
          <w:i/>
        </w:rPr>
        <w:t xml:space="preserve"> a </w:t>
      </w:r>
      <w:proofErr w:type="spellStart"/>
      <w:r w:rsidRPr="00B6578B">
        <w:rPr>
          <w:i/>
        </w:rPr>
        <w:t>finanční</w:t>
      </w:r>
      <w:proofErr w:type="spellEnd"/>
      <w:r w:rsidRPr="00B6578B">
        <w:rPr>
          <w:i/>
        </w:rPr>
        <w:t xml:space="preserve"> </w:t>
      </w:r>
      <w:proofErr w:type="spellStart"/>
      <w:r w:rsidRPr="00B6578B">
        <w:rPr>
          <w:i/>
        </w:rPr>
        <w:t>služby</w:t>
      </w:r>
      <w:proofErr w:type="spellEnd"/>
      <w:r w:rsidRPr="00B6578B">
        <w:rPr>
          <w:i/>
        </w:rPr>
        <w:t>.</w:t>
      </w:r>
      <w:r w:rsidRPr="00B6578B">
        <w:t xml:space="preserve"> In </w:t>
      </w:r>
      <w:proofErr w:type="spellStart"/>
      <w:r w:rsidRPr="00B6578B">
        <w:t>Evropské</w:t>
      </w:r>
      <w:proofErr w:type="spellEnd"/>
      <w:r w:rsidRPr="00B6578B">
        <w:t xml:space="preserve"> </w:t>
      </w:r>
      <w:proofErr w:type="spellStart"/>
      <w:r w:rsidRPr="00B6578B">
        <w:t>finanční</w:t>
      </w:r>
      <w:proofErr w:type="spellEnd"/>
      <w:r w:rsidRPr="00B6578B">
        <w:t xml:space="preserve"> </w:t>
      </w:r>
      <w:proofErr w:type="spellStart"/>
      <w:r w:rsidRPr="00B6578B">
        <w:t>systémy</w:t>
      </w:r>
      <w:proofErr w:type="spellEnd"/>
      <w:r w:rsidRPr="00B6578B">
        <w:t xml:space="preserve"> 2010. Brno: </w:t>
      </w:r>
      <w:proofErr w:type="spellStart"/>
      <w:r w:rsidRPr="00B6578B">
        <w:t>Masarykova</w:t>
      </w:r>
      <w:proofErr w:type="spellEnd"/>
      <w:r w:rsidRPr="00B6578B">
        <w:t xml:space="preserve"> </w:t>
      </w:r>
      <w:proofErr w:type="spellStart"/>
      <w:r w:rsidRPr="00B6578B">
        <w:t>univerzita</w:t>
      </w:r>
      <w:proofErr w:type="spellEnd"/>
      <w:r w:rsidRPr="00B6578B">
        <w:t>, 2010. S. 71 - 75. ISBN 978-80-210-5182-9.</w:t>
      </w:r>
    </w:p>
    <w:p w:rsidR="004C13E9" w:rsidRPr="00B6578B" w:rsidRDefault="004C13E9" w:rsidP="004C13E9">
      <w:pPr>
        <w:pStyle w:val="STINGzdroj"/>
        <w:rPr>
          <w:lang w:val="cs-CZ"/>
        </w:rPr>
      </w:pPr>
      <w:r w:rsidRPr="004C13E9">
        <w:rPr>
          <w:lang w:val="cs-CZ"/>
        </w:rPr>
        <w:t xml:space="preserve">VOSTATEK, Jaroslav. </w:t>
      </w:r>
      <w:r w:rsidRPr="004C13E9">
        <w:rPr>
          <w:i/>
          <w:lang w:val="cs-CZ"/>
        </w:rPr>
        <w:t>Zdanění a dotování finančního sektoru</w:t>
      </w:r>
      <w:r w:rsidRPr="004C13E9">
        <w:rPr>
          <w:lang w:val="cs-CZ"/>
        </w:rPr>
        <w:t xml:space="preserve">. In: Sborník z 5. mezinárodní vědecké konference Finanční trhy a jejich regulace v podmínkách doznívání světové finanční krize. Praha: VŠFS, 2011. </w:t>
      </w:r>
      <w:r w:rsidR="00003709">
        <w:rPr>
          <w:lang w:val="cs-CZ"/>
        </w:rPr>
        <w:t>28 s.</w:t>
      </w:r>
    </w:p>
    <w:sectPr w:rsidR="004C13E9" w:rsidRPr="00B6578B" w:rsidSect="00F36096">
      <w:headerReference w:type="default" r:id="rId18"/>
      <w:footerReference w:type="even" r:id="rId19"/>
      <w:footerReference w:type="default" r:id="rId20"/>
      <w:footerReference w:type="first" r:id="rId2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48" w:rsidRDefault="00432848">
      <w:r>
        <w:separator/>
      </w:r>
    </w:p>
  </w:endnote>
  <w:endnote w:type="continuationSeparator" w:id="0">
    <w:p w:rsidR="00432848" w:rsidRDefault="0043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67" w:rsidRDefault="002931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73667" w:rsidRDefault="00A371F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67" w:rsidRDefault="00F36096" w:rsidP="00F36096">
    <w:pPr>
      <w:pStyle w:val="Zpat"/>
      <w:ind w:right="360"/>
      <w:jc w:val="center"/>
    </w:pPr>
    <w:r>
      <w:fldChar w:fldCharType="begin"/>
    </w:r>
    <w:r>
      <w:instrText>PAGE   \* MERGEFORMAT</w:instrText>
    </w:r>
    <w:r>
      <w:fldChar w:fldCharType="separate"/>
    </w:r>
    <w:r w:rsidR="00A371F9" w:rsidRPr="00A371F9">
      <w:rPr>
        <w:noProof/>
        <w:lang w:val="cs-CZ"/>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96" w:rsidRDefault="00F36096" w:rsidP="00F36096">
    <w:pPr>
      <w:pStyle w:val="Zpat"/>
      <w:jc w:val="center"/>
    </w:pPr>
    <w:r>
      <w:fldChar w:fldCharType="begin"/>
    </w:r>
    <w:r>
      <w:instrText>PAGE   \* MERGEFORMAT</w:instrText>
    </w:r>
    <w:r>
      <w:fldChar w:fldCharType="separate"/>
    </w:r>
    <w:r w:rsidRPr="00F36096">
      <w:rPr>
        <w:noProof/>
        <w:lang w:val="cs-CZ"/>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48" w:rsidRDefault="00432848">
      <w:r>
        <w:separator/>
      </w:r>
    </w:p>
  </w:footnote>
  <w:footnote w:type="continuationSeparator" w:id="0">
    <w:p w:rsidR="00432848" w:rsidRDefault="00432848">
      <w:r>
        <w:continuationSeparator/>
      </w:r>
    </w:p>
  </w:footnote>
  <w:footnote w:id="1">
    <w:p w:rsidR="00E41BD4" w:rsidRPr="00E41BD4" w:rsidRDefault="00E41BD4">
      <w:pPr>
        <w:pStyle w:val="Textpoznpodarou"/>
        <w:rPr>
          <w:lang w:val="cs-CZ"/>
        </w:rPr>
      </w:pPr>
      <w:r>
        <w:rPr>
          <w:rStyle w:val="Znakapoznpodarou"/>
        </w:rPr>
        <w:footnoteRef/>
      </w:r>
      <w:r>
        <w:t xml:space="preserve"> </w:t>
      </w:r>
      <w:proofErr w:type="spellStart"/>
      <w:proofErr w:type="gramStart"/>
      <w:r w:rsidR="00A021E3">
        <w:t>Ing</w:t>
      </w:r>
      <w:proofErr w:type="spellEnd"/>
      <w:r w:rsidR="00A021E3">
        <w:t>.</w:t>
      </w:r>
      <w:proofErr w:type="gramEnd"/>
      <w:r w:rsidR="00A021E3">
        <w:t xml:space="preserve"> </w:t>
      </w:r>
      <w:proofErr w:type="spellStart"/>
      <w:r w:rsidR="00E96A8F">
        <w:t>Yvona</w:t>
      </w:r>
      <w:proofErr w:type="spellEnd"/>
      <w:r w:rsidR="00E96A8F">
        <w:t xml:space="preserve"> </w:t>
      </w:r>
      <w:proofErr w:type="spellStart"/>
      <w:r w:rsidR="00E96A8F">
        <w:t>Legierská</w:t>
      </w:r>
      <w:proofErr w:type="spellEnd"/>
      <w:r w:rsidR="00A021E3">
        <w:t xml:space="preserve">, Ph.D., </w:t>
      </w:r>
      <w:proofErr w:type="spellStart"/>
      <w:r>
        <w:rPr>
          <w:lang w:val="en-US"/>
        </w:rPr>
        <w:t>Katedra</w:t>
      </w:r>
      <w:proofErr w:type="spellEnd"/>
      <w:r>
        <w:rPr>
          <w:lang w:val="en-US"/>
        </w:rPr>
        <w:t xml:space="preserve"> </w:t>
      </w:r>
      <w:proofErr w:type="spellStart"/>
      <w:r w:rsidR="00E96A8F">
        <w:rPr>
          <w:lang w:val="en-US"/>
        </w:rPr>
        <w:t>financí</w:t>
      </w:r>
      <w:proofErr w:type="spellEnd"/>
      <w:r w:rsidRPr="00423EAE">
        <w:rPr>
          <w:lang w:val="en-US"/>
        </w:rPr>
        <w:t xml:space="preserve">, </w:t>
      </w:r>
      <w:proofErr w:type="spellStart"/>
      <w:r w:rsidR="002D51F7">
        <w:rPr>
          <w:lang w:val="en-US"/>
        </w:rPr>
        <w:t>V</w:t>
      </w:r>
      <w:r w:rsidR="00E96A8F">
        <w:rPr>
          <w:lang w:val="en-US"/>
        </w:rPr>
        <w:t>ysoká</w:t>
      </w:r>
      <w:proofErr w:type="spellEnd"/>
      <w:r w:rsidR="00E96A8F">
        <w:rPr>
          <w:lang w:val="en-US"/>
        </w:rPr>
        <w:t xml:space="preserve"> </w:t>
      </w:r>
      <w:proofErr w:type="spellStart"/>
      <w:r w:rsidR="00E96A8F">
        <w:rPr>
          <w:lang w:val="en-US"/>
        </w:rPr>
        <w:t>škola</w:t>
      </w:r>
      <w:proofErr w:type="spellEnd"/>
      <w:r w:rsidR="00E96A8F">
        <w:rPr>
          <w:lang w:val="en-US"/>
        </w:rPr>
        <w:t xml:space="preserve"> </w:t>
      </w:r>
      <w:proofErr w:type="spellStart"/>
      <w:r w:rsidR="00E96A8F">
        <w:rPr>
          <w:lang w:val="en-US"/>
        </w:rPr>
        <w:t>finanční</w:t>
      </w:r>
      <w:proofErr w:type="spellEnd"/>
      <w:r w:rsidR="00E96A8F">
        <w:rPr>
          <w:lang w:val="en-US"/>
        </w:rPr>
        <w:t xml:space="preserve"> a </w:t>
      </w:r>
      <w:proofErr w:type="spellStart"/>
      <w:r w:rsidR="00E96A8F">
        <w:rPr>
          <w:lang w:val="en-US"/>
        </w:rPr>
        <w:t>správní</w:t>
      </w:r>
      <w:proofErr w:type="spellEnd"/>
      <w:r w:rsidR="002D51F7">
        <w:rPr>
          <w:lang w:val="en-US"/>
        </w:rPr>
        <w:t xml:space="preserve">, </w:t>
      </w:r>
      <w:proofErr w:type="spellStart"/>
      <w:r w:rsidR="002D51F7">
        <w:rPr>
          <w:lang w:val="en-US"/>
        </w:rPr>
        <w:t>a.s</w:t>
      </w:r>
      <w:proofErr w:type="spellEnd"/>
      <w:r w:rsidR="002D51F7">
        <w:rPr>
          <w:lang w:val="en-US"/>
        </w:rPr>
        <w:t xml:space="preserve">., </w:t>
      </w:r>
      <w:proofErr w:type="spellStart"/>
      <w:r w:rsidR="002D51F7">
        <w:rPr>
          <w:lang w:val="en-US"/>
        </w:rPr>
        <w:t>Estonská</w:t>
      </w:r>
      <w:proofErr w:type="spellEnd"/>
      <w:r w:rsidR="002D51F7">
        <w:rPr>
          <w:lang w:val="en-US"/>
        </w:rPr>
        <w:t xml:space="preserve"> 500, 101 00</w:t>
      </w:r>
      <w:r w:rsidRPr="00423EAE">
        <w:rPr>
          <w:lang w:val="en-US"/>
        </w:rPr>
        <w:t xml:space="preserve"> </w:t>
      </w:r>
      <w:r w:rsidR="002D51F7">
        <w:rPr>
          <w:lang w:val="en-US"/>
        </w:rPr>
        <w:t>Praha 10</w:t>
      </w:r>
      <w:r w:rsidRPr="00423EAE">
        <w:rPr>
          <w:lang w:val="en-US"/>
        </w:rPr>
        <w:t xml:space="preserve">, e-mail: </w:t>
      </w:r>
      <w:r w:rsidR="002D51F7">
        <w:rPr>
          <w:lang w:val="en-US"/>
        </w:rPr>
        <w:t>yvona.legierska</w:t>
      </w:r>
      <w:r w:rsidRPr="00423EAE">
        <w:rPr>
          <w:lang w:val="en-US"/>
        </w:rPr>
        <w:t>@</w:t>
      </w:r>
      <w:r>
        <w:rPr>
          <w:lang w:val="en-US"/>
        </w:rPr>
        <w:t>s</w:t>
      </w:r>
      <w:r w:rsidR="002D51F7">
        <w:rPr>
          <w:lang w:val="en-US"/>
        </w:rPr>
        <w:t>eznam</w:t>
      </w:r>
      <w:r w:rsidRPr="00423EAE">
        <w:rPr>
          <w:lang w:val="en-US"/>
        </w:rPr>
        <w:t>.cz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B4" w:rsidRPr="00124899" w:rsidRDefault="00D905E2" w:rsidP="00124899">
    <w:pPr>
      <w:pStyle w:val="Zhlav"/>
      <w:tabs>
        <w:tab w:val="right" w:pos="4536"/>
      </w:tabs>
      <w:jc w:val="left"/>
    </w:pPr>
    <w:r w:rsidRPr="00175CD7">
      <w:rPr>
        <w:lang w:val="en-US"/>
      </w:rPr>
      <w:t>DANĚ – TEORIE A PRAXE 201</w:t>
    </w:r>
    <w:r w:rsidR="00F966B0">
      <w:rPr>
        <w:lang w:val="en-US"/>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33149"/>
    <w:multiLevelType w:val="hybridMultilevel"/>
    <w:tmpl w:val="F5E29F78"/>
    <w:lvl w:ilvl="0" w:tplc="357EA4D8">
      <w:start w:val="1"/>
      <w:numFmt w:val="bullet"/>
      <w:lvlText w:val=""/>
      <w:lvlJc w:val="left"/>
      <w:pPr>
        <w:tabs>
          <w:tab w:val="num" w:pos="720"/>
        </w:tabs>
        <w:ind w:left="720" w:hanging="360"/>
      </w:pPr>
      <w:rPr>
        <w:rFonts w:ascii="Wingdings" w:hAnsi="Wingdings" w:hint="default"/>
      </w:rPr>
    </w:lvl>
    <w:lvl w:ilvl="1" w:tplc="9B8A858E" w:tentative="1">
      <w:start w:val="1"/>
      <w:numFmt w:val="bullet"/>
      <w:lvlText w:val=""/>
      <w:lvlJc w:val="left"/>
      <w:pPr>
        <w:tabs>
          <w:tab w:val="num" w:pos="1440"/>
        </w:tabs>
        <w:ind w:left="1440" w:hanging="360"/>
      </w:pPr>
      <w:rPr>
        <w:rFonts w:ascii="Wingdings" w:hAnsi="Wingdings" w:hint="default"/>
      </w:rPr>
    </w:lvl>
    <w:lvl w:ilvl="2" w:tplc="094AD3B8" w:tentative="1">
      <w:start w:val="1"/>
      <w:numFmt w:val="bullet"/>
      <w:lvlText w:val=""/>
      <w:lvlJc w:val="left"/>
      <w:pPr>
        <w:tabs>
          <w:tab w:val="num" w:pos="2160"/>
        </w:tabs>
        <w:ind w:left="2160" w:hanging="360"/>
      </w:pPr>
      <w:rPr>
        <w:rFonts w:ascii="Wingdings" w:hAnsi="Wingdings" w:hint="default"/>
      </w:rPr>
    </w:lvl>
    <w:lvl w:ilvl="3" w:tplc="B84CEB58" w:tentative="1">
      <w:start w:val="1"/>
      <w:numFmt w:val="bullet"/>
      <w:lvlText w:val=""/>
      <w:lvlJc w:val="left"/>
      <w:pPr>
        <w:tabs>
          <w:tab w:val="num" w:pos="2880"/>
        </w:tabs>
        <w:ind w:left="2880" w:hanging="360"/>
      </w:pPr>
      <w:rPr>
        <w:rFonts w:ascii="Wingdings" w:hAnsi="Wingdings" w:hint="default"/>
      </w:rPr>
    </w:lvl>
    <w:lvl w:ilvl="4" w:tplc="4642B314" w:tentative="1">
      <w:start w:val="1"/>
      <w:numFmt w:val="bullet"/>
      <w:lvlText w:val=""/>
      <w:lvlJc w:val="left"/>
      <w:pPr>
        <w:tabs>
          <w:tab w:val="num" w:pos="3600"/>
        </w:tabs>
        <w:ind w:left="3600" w:hanging="360"/>
      </w:pPr>
      <w:rPr>
        <w:rFonts w:ascii="Wingdings" w:hAnsi="Wingdings" w:hint="default"/>
      </w:rPr>
    </w:lvl>
    <w:lvl w:ilvl="5" w:tplc="B6209274" w:tentative="1">
      <w:start w:val="1"/>
      <w:numFmt w:val="bullet"/>
      <w:lvlText w:val=""/>
      <w:lvlJc w:val="left"/>
      <w:pPr>
        <w:tabs>
          <w:tab w:val="num" w:pos="4320"/>
        </w:tabs>
        <w:ind w:left="4320" w:hanging="360"/>
      </w:pPr>
      <w:rPr>
        <w:rFonts w:ascii="Wingdings" w:hAnsi="Wingdings" w:hint="default"/>
      </w:rPr>
    </w:lvl>
    <w:lvl w:ilvl="6" w:tplc="16D8DF2C" w:tentative="1">
      <w:start w:val="1"/>
      <w:numFmt w:val="bullet"/>
      <w:lvlText w:val=""/>
      <w:lvlJc w:val="left"/>
      <w:pPr>
        <w:tabs>
          <w:tab w:val="num" w:pos="5040"/>
        </w:tabs>
        <w:ind w:left="5040" w:hanging="360"/>
      </w:pPr>
      <w:rPr>
        <w:rFonts w:ascii="Wingdings" w:hAnsi="Wingdings" w:hint="default"/>
      </w:rPr>
    </w:lvl>
    <w:lvl w:ilvl="7" w:tplc="33A004DE" w:tentative="1">
      <w:start w:val="1"/>
      <w:numFmt w:val="bullet"/>
      <w:lvlText w:val=""/>
      <w:lvlJc w:val="left"/>
      <w:pPr>
        <w:tabs>
          <w:tab w:val="num" w:pos="5760"/>
        </w:tabs>
        <w:ind w:left="5760" w:hanging="360"/>
      </w:pPr>
      <w:rPr>
        <w:rFonts w:ascii="Wingdings" w:hAnsi="Wingdings" w:hint="default"/>
      </w:rPr>
    </w:lvl>
    <w:lvl w:ilvl="8" w:tplc="161A2F80" w:tentative="1">
      <w:start w:val="1"/>
      <w:numFmt w:val="bullet"/>
      <w:lvlText w:val=""/>
      <w:lvlJc w:val="left"/>
      <w:pPr>
        <w:tabs>
          <w:tab w:val="num" w:pos="6480"/>
        </w:tabs>
        <w:ind w:left="6480" w:hanging="360"/>
      </w:pPr>
      <w:rPr>
        <w:rFonts w:ascii="Wingdings" w:hAnsi="Wingdings" w:hint="default"/>
      </w:rPr>
    </w:lvl>
  </w:abstractNum>
  <w:abstractNum w:abstractNumId="1">
    <w:nsid w:val="256722AF"/>
    <w:multiLevelType w:val="multilevel"/>
    <w:tmpl w:val="0280682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29F723CF"/>
    <w:multiLevelType w:val="hybridMultilevel"/>
    <w:tmpl w:val="E7E0266E"/>
    <w:lvl w:ilvl="0" w:tplc="D036278C">
      <w:start w:val="1"/>
      <w:numFmt w:val="bullet"/>
      <w:lvlText w:val=""/>
      <w:lvlJc w:val="left"/>
      <w:pPr>
        <w:tabs>
          <w:tab w:val="num" w:pos="720"/>
        </w:tabs>
        <w:ind w:left="720" w:hanging="360"/>
      </w:pPr>
      <w:rPr>
        <w:rFonts w:ascii="Wingdings" w:hAnsi="Wingdings" w:hint="default"/>
      </w:rPr>
    </w:lvl>
    <w:lvl w:ilvl="1" w:tplc="7FB60140" w:tentative="1">
      <w:start w:val="1"/>
      <w:numFmt w:val="bullet"/>
      <w:lvlText w:val=""/>
      <w:lvlJc w:val="left"/>
      <w:pPr>
        <w:tabs>
          <w:tab w:val="num" w:pos="1440"/>
        </w:tabs>
        <w:ind w:left="1440" w:hanging="360"/>
      </w:pPr>
      <w:rPr>
        <w:rFonts w:ascii="Wingdings" w:hAnsi="Wingdings" w:hint="default"/>
      </w:rPr>
    </w:lvl>
    <w:lvl w:ilvl="2" w:tplc="50F07D02" w:tentative="1">
      <w:start w:val="1"/>
      <w:numFmt w:val="bullet"/>
      <w:lvlText w:val=""/>
      <w:lvlJc w:val="left"/>
      <w:pPr>
        <w:tabs>
          <w:tab w:val="num" w:pos="2160"/>
        </w:tabs>
        <w:ind w:left="2160" w:hanging="360"/>
      </w:pPr>
      <w:rPr>
        <w:rFonts w:ascii="Wingdings" w:hAnsi="Wingdings" w:hint="default"/>
      </w:rPr>
    </w:lvl>
    <w:lvl w:ilvl="3" w:tplc="1150712C" w:tentative="1">
      <w:start w:val="1"/>
      <w:numFmt w:val="bullet"/>
      <w:lvlText w:val=""/>
      <w:lvlJc w:val="left"/>
      <w:pPr>
        <w:tabs>
          <w:tab w:val="num" w:pos="2880"/>
        </w:tabs>
        <w:ind w:left="2880" w:hanging="360"/>
      </w:pPr>
      <w:rPr>
        <w:rFonts w:ascii="Wingdings" w:hAnsi="Wingdings" w:hint="default"/>
      </w:rPr>
    </w:lvl>
    <w:lvl w:ilvl="4" w:tplc="254C23C4" w:tentative="1">
      <w:start w:val="1"/>
      <w:numFmt w:val="bullet"/>
      <w:lvlText w:val=""/>
      <w:lvlJc w:val="left"/>
      <w:pPr>
        <w:tabs>
          <w:tab w:val="num" w:pos="3600"/>
        </w:tabs>
        <w:ind w:left="3600" w:hanging="360"/>
      </w:pPr>
      <w:rPr>
        <w:rFonts w:ascii="Wingdings" w:hAnsi="Wingdings" w:hint="default"/>
      </w:rPr>
    </w:lvl>
    <w:lvl w:ilvl="5" w:tplc="8B301136" w:tentative="1">
      <w:start w:val="1"/>
      <w:numFmt w:val="bullet"/>
      <w:lvlText w:val=""/>
      <w:lvlJc w:val="left"/>
      <w:pPr>
        <w:tabs>
          <w:tab w:val="num" w:pos="4320"/>
        </w:tabs>
        <w:ind w:left="4320" w:hanging="360"/>
      </w:pPr>
      <w:rPr>
        <w:rFonts w:ascii="Wingdings" w:hAnsi="Wingdings" w:hint="default"/>
      </w:rPr>
    </w:lvl>
    <w:lvl w:ilvl="6" w:tplc="BD32B21C" w:tentative="1">
      <w:start w:val="1"/>
      <w:numFmt w:val="bullet"/>
      <w:lvlText w:val=""/>
      <w:lvlJc w:val="left"/>
      <w:pPr>
        <w:tabs>
          <w:tab w:val="num" w:pos="5040"/>
        </w:tabs>
        <w:ind w:left="5040" w:hanging="360"/>
      </w:pPr>
      <w:rPr>
        <w:rFonts w:ascii="Wingdings" w:hAnsi="Wingdings" w:hint="default"/>
      </w:rPr>
    </w:lvl>
    <w:lvl w:ilvl="7" w:tplc="48BE3370" w:tentative="1">
      <w:start w:val="1"/>
      <w:numFmt w:val="bullet"/>
      <w:lvlText w:val=""/>
      <w:lvlJc w:val="left"/>
      <w:pPr>
        <w:tabs>
          <w:tab w:val="num" w:pos="5760"/>
        </w:tabs>
        <w:ind w:left="5760" w:hanging="360"/>
      </w:pPr>
      <w:rPr>
        <w:rFonts w:ascii="Wingdings" w:hAnsi="Wingdings" w:hint="default"/>
      </w:rPr>
    </w:lvl>
    <w:lvl w:ilvl="8" w:tplc="DDC43660" w:tentative="1">
      <w:start w:val="1"/>
      <w:numFmt w:val="bullet"/>
      <w:lvlText w:val=""/>
      <w:lvlJc w:val="left"/>
      <w:pPr>
        <w:tabs>
          <w:tab w:val="num" w:pos="6480"/>
        </w:tabs>
        <w:ind w:left="6480" w:hanging="360"/>
      </w:pPr>
      <w:rPr>
        <w:rFonts w:ascii="Wingdings" w:hAnsi="Wingdings" w:hint="default"/>
      </w:rPr>
    </w:lvl>
  </w:abstractNum>
  <w:abstractNum w:abstractNumId="3">
    <w:nsid w:val="365753BC"/>
    <w:multiLevelType w:val="hybridMultilevel"/>
    <w:tmpl w:val="A320854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4">
    <w:nsid w:val="3ADC49BA"/>
    <w:multiLevelType w:val="multilevel"/>
    <w:tmpl w:val="8DDE0EA8"/>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nsid w:val="3ED52892"/>
    <w:multiLevelType w:val="hybridMultilevel"/>
    <w:tmpl w:val="B4941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40627506">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29F1E14"/>
    <w:multiLevelType w:val="hybridMultilevel"/>
    <w:tmpl w:val="312A9844"/>
    <w:lvl w:ilvl="0" w:tplc="66100D58">
      <w:start w:val="1"/>
      <w:numFmt w:val="decimal"/>
      <w:pStyle w:val="STINGzdroj"/>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4954036"/>
    <w:multiLevelType w:val="hybridMultilevel"/>
    <w:tmpl w:val="491AEEE4"/>
    <w:lvl w:ilvl="0" w:tplc="5E58EEB0">
      <w:start w:val="1"/>
      <w:numFmt w:val="bullet"/>
      <w:lvlText w:val=""/>
      <w:lvlJc w:val="left"/>
      <w:pPr>
        <w:tabs>
          <w:tab w:val="num" w:pos="720"/>
        </w:tabs>
        <w:ind w:left="720" w:hanging="360"/>
      </w:pPr>
      <w:rPr>
        <w:rFonts w:ascii="Wingdings" w:hAnsi="Wingdings" w:hint="default"/>
      </w:rPr>
    </w:lvl>
    <w:lvl w:ilvl="1" w:tplc="73142706" w:tentative="1">
      <w:start w:val="1"/>
      <w:numFmt w:val="bullet"/>
      <w:lvlText w:val=""/>
      <w:lvlJc w:val="left"/>
      <w:pPr>
        <w:tabs>
          <w:tab w:val="num" w:pos="1440"/>
        </w:tabs>
        <w:ind w:left="1440" w:hanging="360"/>
      </w:pPr>
      <w:rPr>
        <w:rFonts w:ascii="Wingdings" w:hAnsi="Wingdings" w:hint="default"/>
      </w:rPr>
    </w:lvl>
    <w:lvl w:ilvl="2" w:tplc="775A1B9A" w:tentative="1">
      <w:start w:val="1"/>
      <w:numFmt w:val="bullet"/>
      <w:lvlText w:val=""/>
      <w:lvlJc w:val="left"/>
      <w:pPr>
        <w:tabs>
          <w:tab w:val="num" w:pos="2160"/>
        </w:tabs>
        <w:ind w:left="2160" w:hanging="360"/>
      </w:pPr>
      <w:rPr>
        <w:rFonts w:ascii="Wingdings" w:hAnsi="Wingdings" w:hint="default"/>
      </w:rPr>
    </w:lvl>
    <w:lvl w:ilvl="3" w:tplc="253004F8" w:tentative="1">
      <w:start w:val="1"/>
      <w:numFmt w:val="bullet"/>
      <w:lvlText w:val=""/>
      <w:lvlJc w:val="left"/>
      <w:pPr>
        <w:tabs>
          <w:tab w:val="num" w:pos="2880"/>
        </w:tabs>
        <w:ind w:left="2880" w:hanging="360"/>
      </w:pPr>
      <w:rPr>
        <w:rFonts w:ascii="Wingdings" w:hAnsi="Wingdings" w:hint="default"/>
      </w:rPr>
    </w:lvl>
    <w:lvl w:ilvl="4" w:tplc="10ECB16C" w:tentative="1">
      <w:start w:val="1"/>
      <w:numFmt w:val="bullet"/>
      <w:lvlText w:val=""/>
      <w:lvlJc w:val="left"/>
      <w:pPr>
        <w:tabs>
          <w:tab w:val="num" w:pos="3600"/>
        </w:tabs>
        <w:ind w:left="3600" w:hanging="360"/>
      </w:pPr>
      <w:rPr>
        <w:rFonts w:ascii="Wingdings" w:hAnsi="Wingdings" w:hint="default"/>
      </w:rPr>
    </w:lvl>
    <w:lvl w:ilvl="5" w:tplc="F21251F0" w:tentative="1">
      <w:start w:val="1"/>
      <w:numFmt w:val="bullet"/>
      <w:lvlText w:val=""/>
      <w:lvlJc w:val="left"/>
      <w:pPr>
        <w:tabs>
          <w:tab w:val="num" w:pos="4320"/>
        </w:tabs>
        <w:ind w:left="4320" w:hanging="360"/>
      </w:pPr>
      <w:rPr>
        <w:rFonts w:ascii="Wingdings" w:hAnsi="Wingdings" w:hint="default"/>
      </w:rPr>
    </w:lvl>
    <w:lvl w:ilvl="6" w:tplc="F7DEBD32" w:tentative="1">
      <w:start w:val="1"/>
      <w:numFmt w:val="bullet"/>
      <w:lvlText w:val=""/>
      <w:lvlJc w:val="left"/>
      <w:pPr>
        <w:tabs>
          <w:tab w:val="num" w:pos="5040"/>
        </w:tabs>
        <w:ind w:left="5040" w:hanging="360"/>
      </w:pPr>
      <w:rPr>
        <w:rFonts w:ascii="Wingdings" w:hAnsi="Wingdings" w:hint="default"/>
      </w:rPr>
    </w:lvl>
    <w:lvl w:ilvl="7" w:tplc="B13015F2" w:tentative="1">
      <w:start w:val="1"/>
      <w:numFmt w:val="bullet"/>
      <w:lvlText w:val=""/>
      <w:lvlJc w:val="left"/>
      <w:pPr>
        <w:tabs>
          <w:tab w:val="num" w:pos="5760"/>
        </w:tabs>
        <w:ind w:left="5760" w:hanging="360"/>
      </w:pPr>
      <w:rPr>
        <w:rFonts w:ascii="Wingdings" w:hAnsi="Wingdings" w:hint="default"/>
      </w:rPr>
    </w:lvl>
    <w:lvl w:ilvl="8" w:tplc="56D82D46" w:tentative="1">
      <w:start w:val="1"/>
      <w:numFmt w:val="bullet"/>
      <w:lvlText w:val=""/>
      <w:lvlJc w:val="left"/>
      <w:pPr>
        <w:tabs>
          <w:tab w:val="num" w:pos="6480"/>
        </w:tabs>
        <w:ind w:left="6480" w:hanging="360"/>
      </w:pPr>
      <w:rPr>
        <w:rFonts w:ascii="Wingdings" w:hAnsi="Wingdings" w:hint="default"/>
      </w:rPr>
    </w:lvl>
  </w:abstractNum>
  <w:abstractNum w:abstractNumId="8">
    <w:nsid w:val="5B285B3C"/>
    <w:multiLevelType w:val="hybridMultilevel"/>
    <w:tmpl w:val="9056E06E"/>
    <w:lvl w:ilvl="0" w:tplc="88DE19E2">
      <w:start w:val="1"/>
      <w:numFmt w:val="bullet"/>
      <w:lvlText w:val=""/>
      <w:lvlJc w:val="left"/>
      <w:pPr>
        <w:tabs>
          <w:tab w:val="num" w:pos="720"/>
        </w:tabs>
        <w:ind w:left="720" w:hanging="360"/>
      </w:pPr>
      <w:rPr>
        <w:rFonts w:ascii="Wingdings" w:hAnsi="Wingdings" w:hint="default"/>
      </w:rPr>
    </w:lvl>
    <w:lvl w:ilvl="1" w:tplc="48D2ED9A" w:tentative="1">
      <w:start w:val="1"/>
      <w:numFmt w:val="bullet"/>
      <w:lvlText w:val=""/>
      <w:lvlJc w:val="left"/>
      <w:pPr>
        <w:tabs>
          <w:tab w:val="num" w:pos="1440"/>
        </w:tabs>
        <w:ind w:left="1440" w:hanging="360"/>
      </w:pPr>
      <w:rPr>
        <w:rFonts w:ascii="Wingdings" w:hAnsi="Wingdings" w:hint="default"/>
      </w:rPr>
    </w:lvl>
    <w:lvl w:ilvl="2" w:tplc="CB94627C" w:tentative="1">
      <w:start w:val="1"/>
      <w:numFmt w:val="bullet"/>
      <w:lvlText w:val=""/>
      <w:lvlJc w:val="left"/>
      <w:pPr>
        <w:tabs>
          <w:tab w:val="num" w:pos="2160"/>
        </w:tabs>
        <w:ind w:left="2160" w:hanging="360"/>
      </w:pPr>
      <w:rPr>
        <w:rFonts w:ascii="Wingdings" w:hAnsi="Wingdings" w:hint="default"/>
      </w:rPr>
    </w:lvl>
    <w:lvl w:ilvl="3" w:tplc="8ABCD024" w:tentative="1">
      <w:start w:val="1"/>
      <w:numFmt w:val="bullet"/>
      <w:lvlText w:val=""/>
      <w:lvlJc w:val="left"/>
      <w:pPr>
        <w:tabs>
          <w:tab w:val="num" w:pos="2880"/>
        </w:tabs>
        <w:ind w:left="2880" w:hanging="360"/>
      </w:pPr>
      <w:rPr>
        <w:rFonts w:ascii="Wingdings" w:hAnsi="Wingdings" w:hint="default"/>
      </w:rPr>
    </w:lvl>
    <w:lvl w:ilvl="4" w:tplc="B3007928" w:tentative="1">
      <w:start w:val="1"/>
      <w:numFmt w:val="bullet"/>
      <w:lvlText w:val=""/>
      <w:lvlJc w:val="left"/>
      <w:pPr>
        <w:tabs>
          <w:tab w:val="num" w:pos="3600"/>
        </w:tabs>
        <w:ind w:left="3600" w:hanging="360"/>
      </w:pPr>
      <w:rPr>
        <w:rFonts w:ascii="Wingdings" w:hAnsi="Wingdings" w:hint="default"/>
      </w:rPr>
    </w:lvl>
    <w:lvl w:ilvl="5" w:tplc="865291C0" w:tentative="1">
      <w:start w:val="1"/>
      <w:numFmt w:val="bullet"/>
      <w:lvlText w:val=""/>
      <w:lvlJc w:val="left"/>
      <w:pPr>
        <w:tabs>
          <w:tab w:val="num" w:pos="4320"/>
        </w:tabs>
        <w:ind w:left="4320" w:hanging="360"/>
      </w:pPr>
      <w:rPr>
        <w:rFonts w:ascii="Wingdings" w:hAnsi="Wingdings" w:hint="default"/>
      </w:rPr>
    </w:lvl>
    <w:lvl w:ilvl="6" w:tplc="0B46FD72" w:tentative="1">
      <w:start w:val="1"/>
      <w:numFmt w:val="bullet"/>
      <w:lvlText w:val=""/>
      <w:lvlJc w:val="left"/>
      <w:pPr>
        <w:tabs>
          <w:tab w:val="num" w:pos="5040"/>
        </w:tabs>
        <w:ind w:left="5040" w:hanging="360"/>
      </w:pPr>
      <w:rPr>
        <w:rFonts w:ascii="Wingdings" w:hAnsi="Wingdings" w:hint="default"/>
      </w:rPr>
    </w:lvl>
    <w:lvl w:ilvl="7" w:tplc="B7F82E8E" w:tentative="1">
      <w:start w:val="1"/>
      <w:numFmt w:val="bullet"/>
      <w:lvlText w:val=""/>
      <w:lvlJc w:val="left"/>
      <w:pPr>
        <w:tabs>
          <w:tab w:val="num" w:pos="5760"/>
        </w:tabs>
        <w:ind w:left="5760" w:hanging="360"/>
      </w:pPr>
      <w:rPr>
        <w:rFonts w:ascii="Wingdings" w:hAnsi="Wingdings" w:hint="default"/>
      </w:rPr>
    </w:lvl>
    <w:lvl w:ilvl="8" w:tplc="6E72AE86" w:tentative="1">
      <w:start w:val="1"/>
      <w:numFmt w:val="bullet"/>
      <w:lvlText w:val=""/>
      <w:lvlJc w:val="left"/>
      <w:pPr>
        <w:tabs>
          <w:tab w:val="num" w:pos="6480"/>
        </w:tabs>
        <w:ind w:left="6480" w:hanging="360"/>
      </w:pPr>
      <w:rPr>
        <w:rFonts w:ascii="Wingdings" w:hAnsi="Wingdings" w:hint="default"/>
      </w:rPr>
    </w:lvl>
  </w:abstractNum>
  <w:abstractNum w:abstractNumId="9">
    <w:nsid w:val="6C2C296A"/>
    <w:multiLevelType w:val="hybridMultilevel"/>
    <w:tmpl w:val="24A89E2E"/>
    <w:lvl w:ilvl="0" w:tplc="BD3C57F2">
      <w:start w:val="1"/>
      <w:numFmt w:val="bullet"/>
      <w:lvlText w:val=""/>
      <w:lvlJc w:val="left"/>
      <w:pPr>
        <w:tabs>
          <w:tab w:val="num" w:pos="720"/>
        </w:tabs>
        <w:ind w:left="720" w:hanging="360"/>
      </w:pPr>
      <w:rPr>
        <w:rFonts w:ascii="Wingdings" w:hAnsi="Wingdings" w:hint="default"/>
      </w:rPr>
    </w:lvl>
    <w:lvl w:ilvl="1" w:tplc="6180F54C" w:tentative="1">
      <w:start w:val="1"/>
      <w:numFmt w:val="bullet"/>
      <w:lvlText w:val=""/>
      <w:lvlJc w:val="left"/>
      <w:pPr>
        <w:tabs>
          <w:tab w:val="num" w:pos="1440"/>
        </w:tabs>
        <w:ind w:left="1440" w:hanging="360"/>
      </w:pPr>
      <w:rPr>
        <w:rFonts w:ascii="Wingdings" w:hAnsi="Wingdings" w:hint="default"/>
      </w:rPr>
    </w:lvl>
    <w:lvl w:ilvl="2" w:tplc="E65629AA" w:tentative="1">
      <w:start w:val="1"/>
      <w:numFmt w:val="bullet"/>
      <w:lvlText w:val=""/>
      <w:lvlJc w:val="left"/>
      <w:pPr>
        <w:tabs>
          <w:tab w:val="num" w:pos="2160"/>
        </w:tabs>
        <w:ind w:left="2160" w:hanging="360"/>
      </w:pPr>
      <w:rPr>
        <w:rFonts w:ascii="Wingdings" w:hAnsi="Wingdings" w:hint="default"/>
      </w:rPr>
    </w:lvl>
    <w:lvl w:ilvl="3" w:tplc="BECE81DC" w:tentative="1">
      <w:start w:val="1"/>
      <w:numFmt w:val="bullet"/>
      <w:lvlText w:val=""/>
      <w:lvlJc w:val="left"/>
      <w:pPr>
        <w:tabs>
          <w:tab w:val="num" w:pos="2880"/>
        </w:tabs>
        <w:ind w:left="2880" w:hanging="360"/>
      </w:pPr>
      <w:rPr>
        <w:rFonts w:ascii="Wingdings" w:hAnsi="Wingdings" w:hint="default"/>
      </w:rPr>
    </w:lvl>
    <w:lvl w:ilvl="4" w:tplc="524473C4" w:tentative="1">
      <w:start w:val="1"/>
      <w:numFmt w:val="bullet"/>
      <w:lvlText w:val=""/>
      <w:lvlJc w:val="left"/>
      <w:pPr>
        <w:tabs>
          <w:tab w:val="num" w:pos="3600"/>
        </w:tabs>
        <w:ind w:left="3600" w:hanging="360"/>
      </w:pPr>
      <w:rPr>
        <w:rFonts w:ascii="Wingdings" w:hAnsi="Wingdings" w:hint="default"/>
      </w:rPr>
    </w:lvl>
    <w:lvl w:ilvl="5" w:tplc="A96ADD4C" w:tentative="1">
      <w:start w:val="1"/>
      <w:numFmt w:val="bullet"/>
      <w:lvlText w:val=""/>
      <w:lvlJc w:val="left"/>
      <w:pPr>
        <w:tabs>
          <w:tab w:val="num" w:pos="4320"/>
        </w:tabs>
        <w:ind w:left="4320" w:hanging="360"/>
      </w:pPr>
      <w:rPr>
        <w:rFonts w:ascii="Wingdings" w:hAnsi="Wingdings" w:hint="default"/>
      </w:rPr>
    </w:lvl>
    <w:lvl w:ilvl="6" w:tplc="26B8CDF8" w:tentative="1">
      <w:start w:val="1"/>
      <w:numFmt w:val="bullet"/>
      <w:lvlText w:val=""/>
      <w:lvlJc w:val="left"/>
      <w:pPr>
        <w:tabs>
          <w:tab w:val="num" w:pos="5040"/>
        </w:tabs>
        <w:ind w:left="5040" w:hanging="360"/>
      </w:pPr>
      <w:rPr>
        <w:rFonts w:ascii="Wingdings" w:hAnsi="Wingdings" w:hint="default"/>
      </w:rPr>
    </w:lvl>
    <w:lvl w:ilvl="7" w:tplc="3FB2E24C" w:tentative="1">
      <w:start w:val="1"/>
      <w:numFmt w:val="bullet"/>
      <w:lvlText w:val=""/>
      <w:lvlJc w:val="left"/>
      <w:pPr>
        <w:tabs>
          <w:tab w:val="num" w:pos="5760"/>
        </w:tabs>
        <w:ind w:left="5760" w:hanging="360"/>
      </w:pPr>
      <w:rPr>
        <w:rFonts w:ascii="Wingdings" w:hAnsi="Wingdings" w:hint="default"/>
      </w:rPr>
    </w:lvl>
    <w:lvl w:ilvl="8" w:tplc="3CD422A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308" w:allStyles="0" w:customStyles="0" w:latentStyles="0" w:stylesInUse="1" w:headingStyles="0" w:numberingStyles="0" w:tableStyles="0" w:directFormattingOnRuns="1" w:directFormattingOnParagraphs="1" w:directFormattingOnNumbering="0" w:directFormattingOnTables="0" w:clearFormatting="0"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D8"/>
    <w:rsid w:val="00003709"/>
    <w:rsid w:val="00037D51"/>
    <w:rsid w:val="00050CB4"/>
    <w:rsid w:val="00061113"/>
    <w:rsid w:val="000746F5"/>
    <w:rsid w:val="000920CA"/>
    <w:rsid w:val="0009700E"/>
    <w:rsid w:val="000A6C57"/>
    <w:rsid w:val="000C1193"/>
    <w:rsid w:val="000C2DDC"/>
    <w:rsid w:val="000D02BC"/>
    <w:rsid w:val="000E27D4"/>
    <w:rsid w:val="000E3AC1"/>
    <w:rsid w:val="000F463E"/>
    <w:rsid w:val="00102381"/>
    <w:rsid w:val="00124899"/>
    <w:rsid w:val="00125E6A"/>
    <w:rsid w:val="00172D1D"/>
    <w:rsid w:val="00175CD7"/>
    <w:rsid w:val="00183649"/>
    <w:rsid w:val="001B5B7C"/>
    <w:rsid w:val="001D1AC8"/>
    <w:rsid w:val="001E0CF4"/>
    <w:rsid w:val="001F4F29"/>
    <w:rsid w:val="001F5AD2"/>
    <w:rsid w:val="001F7260"/>
    <w:rsid w:val="002178C3"/>
    <w:rsid w:val="00220E76"/>
    <w:rsid w:val="002239AC"/>
    <w:rsid w:val="00225D72"/>
    <w:rsid w:val="00260E74"/>
    <w:rsid w:val="00265034"/>
    <w:rsid w:val="00266570"/>
    <w:rsid w:val="00293164"/>
    <w:rsid w:val="002A1A28"/>
    <w:rsid w:val="002C2ED2"/>
    <w:rsid w:val="002D187F"/>
    <w:rsid w:val="002D51F7"/>
    <w:rsid w:val="002E2444"/>
    <w:rsid w:val="002F103B"/>
    <w:rsid w:val="002F4D6F"/>
    <w:rsid w:val="003000AA"/>
    <w:rsid w:val="00304433"/>
    <w:rsid w:val="0032291A"/>
    <w:rsid w:val="003375B4"/>
    <w:rsid w:val="00344E5F"/>
    <w:rsid w:val="00350D02"/>
    <w:rsid w:val="00352157"/>
    <w:rsid w:val="0036321B"/>
    <w:rsid w:val="003655D0"/>
    <w:rsid w:val="003659FA"/>
    <w:rsid w:val="00366BE7"/>
    <w:rsid w:val="00397409"/>
    <w:rsid w:val="00397A5F"/>
    <w:rsid w:val="003B052D"/>
    <w:rsid w:val="003B2091"/>
    <w:rsid w:val="003B2DA4"/>
    <w:rsid w:val="003C6F94"/>
    <w:rsid w:val="003E2D03"/>
    <w:rsid w:val="003F3BD4"/>
    <w:rsid w:val="003F726F"/>
    <w:rsid w:val="00402671"/>
    <w:rsid w:val="00415FCE"/>
    <w:rsid w:val="0042251D"/>
    <w:rsid w:val="004270A4"/>
    <w:rsid w:val="00432848"/>
    <w:rsid w:val="0043595F"/>
    <w:rsid w:val="004A4F5C"/>
    <w:rsid w:val="004B0922"/>
    <w:rsid w:val="004C13E9"/>
    <w:rsid w:val="004C7CFD"/>
    <w:rsid w:val="004D4C89"/>
    <w:rsid w:val="004F0EE2"/>
    <w:rsid w:val="00500492"/>
    <w:rsid w:val="005166A6"/>
    <w:rsid w:val="00535735"/>
    <w:rsid w:val="00541279"/>
    <w:rsid w:val="0056755F"/>
    <w:rsid w:val="005A4FC3"/>
    <w:rsid w:val="005B07B6"/>
    <w:rsid w:val="005B150A"/>
    <w:rsid w:val="005C2066"/>
    <w:rsid w:val="005C66AE"/>
    <w:rsid w:val="005F758A"/>
    <w:rsid w:val="00603FFF"/>
    <w:rsid w:val="0060572C"/>
    <w:rsid w:val="00607861"/>
    <w:rsid w:val="00620C01"/>
    <w:rsid w:val="00625363"/>
    <w:rsid w:val="0063689C"/>
    <w:rsid w:val="00666A65"/>
    <w:rsid w:val="00686973"/>
    <w:rsid w:val="006C0C73"/>
    <w:rsid w:val="006E1ECA"/>
    <w:rsid w:val="006E3DB3"/>
    <w:rsid w:val="006E775F"/>
    <w:rsid w:val="006F16E1"/>
    <w:rsid w:val="006F2B07"/>
    <w:rsid w:val="007058ED"/>
    <w:rsid w:val="00725570"/>
    <w:rsid w:val="00734D4F"/>
    <w:rsid w:val="0073656B"/>
    <w:rsid w:val="0073775B"/>
    <w:rsid w:val="00741C4E"/>
    <w:rsid w:val="00782D52"/>
    <w:rsid w:val="007B6D5E"/>
    <w:rsid w:val="007B701D"/>
    <w:rsid w:val="007C03E7"/>
    <w:rsid w:val="007D0486"/>
    <w:rsid w:val="007D3B27"/>
    <w:rsid w:val="007E0831"/>
    <w:rsid w:val="007E4DBB"/>
    <w:rsid w:val="007F47A3"/>
    <w:rsid w:val="008035AF"/>
    <w:rsid w:val="00804457"/>
    <w:rsid w:val="00834DE5"/>
    <w:rsid w:val="00864137"/>
    <w:rsid w:val="00874D04"/>
    <w:rsid w:val="00897606"/>
    <w:rsid w:val="008B08C1"/>
    <w:rsid w:val="008C482F"/>
    <w:rsid w:val="00900424"/>
    <w:rsid w:val="00904096"/>
    <w:rsid w:val="00916EA6"/>
    <w:rsid w:val="0092009C"/>
    <w:rsid w:val="00923EE9"/>
    <w:rsid w:val="0096738E"/>
    <w:rsid w:val="00984195"/>
    <w:rsid w:val="00987928"/>
    <w:rsid w:val="0099728A"/>
    <w:rsid w:val="009A08DB"/>
    <w:rsid w:val="009C24FE"/>
    <w:rsid w:val="009E63BF"/>
    <w:rsid w:val="00A021E3"/>
    <w:rsid w:val="00A120BA"/>
    <w:rsid w:val="00A371F9"/>
    <w:rsid w:val="00AB7EB0"/>
    <w:rsid w:val="00AC5B93"/>
    <w:rsid w:val="00AD1BAA"/>
    <w:rsid w:val="00AF782F"/>
    <w:rsid w:val="00B010B0"/>
    <w:rsid w:val="00B61385"/>
    <w:rsid w:val="00B63F7D"/>
    <w:rsid w:val="00B6578B"/>
    <w:rsid w:val="00B72E51"/>
    <w:rsid w:val="00B81978"/>
    <w:rsid w:val="00B827B4"/>
    <w:rsid w:val="00B94DBC"/>
    <w:rsid w:val="00BD5E1A"/>
    <w:rsid w:val="00BD6B49"/>
    <w:rsid w:val="00BE550E"/>
    <w:rsid w:val="00C050F9"/>
    <w:rsid w:val="00C12240"/>
    <w:rsid w:val="00C15967"/>
    <w:rsid w:val="00C21BE5"/>
    <w:rsid w:val="00C313EF"/>
    <w:rsid w:val="00C47432"/>
    <w:rsid w:val="00C53968"/>
    <w:rsid w:val="00C6379B"/>
    <w:rsid w:val="00C64EA5"/>
    <w:rsid w:val="00CD0DF3"/>
    <w:rsid w:val="00CD12ED"/>
    <w:rsid w:val="00CF034D"/>
    <w:rsid w:val="00CF6BE6"/>
    <w:rsid w:val="00D01176"/>
    <w:rsid w:val="00D122FE"/>
    <w:rsid w:val="00D1420B"/>
    <w:rsid w:val="00D22604"/>
    <w:rsid w:val="00D24302"/>
    <w:rsid w:val="00D51268"/>
    <w:rsid w:val="00D51EBB"/>
    <w:rsid w:val="00D6363C"/>
    <w:rsid w:val="00D66CAF"/>
    <w:rsid w:val="00D725D9"/>
    <w:rsid w:val="00D905E2"/>
    <w:rsid w:val="00DA2C62"/>
    <w:rsid w:val="00DB0A3E"/>
    <w:rsid w:val="00E24EA7"/>
    <w:rsid w:val="00E25F1D"/>
    <w:rsid w:val="00E35E4B"/>
    <w:rsid w:val="00E40ED7"/>
    <w:rsid w:val="00E41BD4"/>
    <w:rsid w:val="00E707DD"/>
    <w:rsid w:val="00E718D8"/>
    <w:rsid w:val="00E855C0"/>
    <w:rsid w:val="00E960F2"/>
    <w:rsid w:val="00E96A8F"/>
    <w:rsid w:val="00EA2D33"/>
    <w:rsid w:val="00EB104D"/>
    <w:rsid w:val="00ED02C7"/>
    <w:rsid w:val="00EF010C"/>
    <w:rsid w:val="00EF26E0"/>
    <w:rsid w:val="00EF5229"/>
    <w:rsid w:val="00F01B57"/>
    <w:rsid w:val="00F110C5"/>
    <w:rsid w:val="00F14AD0"/>
    <w:rsid w:val="00F36096"/>
    <w:rsid w:val="00F40B60"/>
    <w:rsid w:val="00F47895"/>
    <w:rsid w:val="00F5682B"/>
    <w:rsid w:val="00F628CE"/>
    <w:rsid w:val="00F66E0C"/>
    <w:rsid w:val="00F75741"/>
    <w:rsid w:val="00F7630D"/>
    <w:rsid w:val="00F905EE"/>
    <w:rsid w:val="00F9345B"/>
    <w:rsid w:val="00F966B0"/>
    <w:rsid w:val="00FA7FDB"/>
    <w:rsid w:val="00FB1D84"/>
    <w:rsid w:val="00FC5E74"/>
    <w:rsid w:val="00FE7E75"/>
    <w:rsid w:val="00FF2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EE9"/>
    <w:pPr>
      <w:spacing w:before="120"/>
      <w:jc w:val="both"/>
    </w:pPr>
    <w:rPr>
      <w:rFonts w:eastAsia="Times New Roman"/>
      <w:sz w:val="24"/>
      <w:szCs w:val="24"/>
      <w:lang w:val="en-GB"/>
    </w:rPr>
  </w:style>
  <w:style w:type="paragraph" w:styleId="Nadpis1">
    <w:name w:val="heading 1"/>
    <w:aliases w:val="Nadpis 1_STING"/>
    <w:basedOn w:val="Normln"/>
    <w:next w:val="STINGodstavec"/>
    <w:link w:val="Nadpis1Char"/>
    <w:rsid w:val="00D905E2"/>
    <w:pPr>
      <w:keepNext/>
      <w:keepLines/>
      <w:widowControl w:val="0"/>
      <w:numPr>
        <w:numId w:val="3"/>
      </w:numPr>
      <w:suppressAutoHyphens/>
      <w:spacing w:before="520" w:after="280"/>
      <w:jc w:val="left"/>
      <w:outlineLvl w:val="0"/>
    </w:pPr>
    <w:rPr>
      <w:rFonts w:cs="Arial"/>
      <w:b/>
      <w:bCs/>
      <w:kern w:val="32"/>
      <w:sz w:val="32"/>
      <w:szCs w:val="32"/>
    </w:rPr>
  </w:style>
  <w:style w:type="paragraph" w:styleId="Nadpis2">
    <w:name w:val="heading 2"/>
    <w:aliases w:val="Nadpis 2_STING"/>
    <w:basedOn w:val="Normln"/>
    <w:next w:val="STINGodstavec"/>
    <w:link w:val="Nadpis2Char"/>
    <w:qFormat/>
    <w:rsid w:val="00D905E2"/>
    <w:pPr>
      <w:keepNext/>
      <w:keepLines/>
      <w:widowControl w:val="0"/>
      <w:numPr>
        <w:ilvl w:val="1"/>
        <w:numId w:val="3"/>
      </w:numPr>
      <w:suppressAutoHyphens/>
      <w:spacing w:before="260" w:after="260"/>
      <w:jc w:val="left"/>
      <w:outlineLvl w:val="1"/>
    </w:pPr>
    <w:rPr>
      <w:rFonts w:cs="Arial"/>
      <w:b/>
      <w:bCs/>
      <w:iCs/>
      <w:sz w:val="28"/>
      <w:szCs w:val="28"/>
    </w:rPr>
  </w:style>
  <w:style w:type="paragraph" w:styleId="Nadpis3">
    <w:name w:val="heading 3"/>
    <w:aliases w:val="Nadpis 3_STING"/>
    <w:basedOn w:val="Normln"/>
    <w:next w:val="STINGodstavec"/>
    <w:link w:val="Nadpis3Char"/>
    <w:qFormat/>
    <w:rsid w:val="00D905E2"/>
    <w:pPr>
      <w:keepNext/>
      <w:keepLines/>
      <w:widowControl w:val="0"/>
      <w:numPr>
        <w:ilvl w:val="2"/>
        <w:numId w:val="3"/>
      </w:numPr>
      <w:suppressAutoHyphens/>
      <w:spacing w:before="240" w:after="120"/>
      <w:jc w:val="left"/>
      <w:outlineLvl w:val="2"/>
    </w:pPr>
    <w:rPr>
      <w:rFonts w:cs="Arial"/>
      <w:b/>
      <w:bCs/>
      <w:szCs w:val="26"/>
    </w:rPr>
  </w:style>
  <w:style w:type="paragraph" w:styleId="Nadpis4">
    <w:name w:val="heading 4"/>
    <w:basedOn w:val="Normln"/>
    <w:next w:val="Normln"/>
    <w:link w:val="Nadpis4Char"/>
    <w:uiPriority w:val="9"/>
    <w:unhideWhenUsed/>
    <w:qFormat/>
    <w:rsid w:val="00E718D8"/>
    <w:pPr>
      <w:keepNext/>
      <w:numPr>
        <w:ilvl w:val="3"/>
        <w:numId w:val="3"/>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rsid w:val="00D905E2"/>
    <w:pPr>
      <w:keepNext/>
      <w:keepLines/>
      <w:numPr>
        <w:ilvl w:val="4"/>
        <w:numId w:val="3"/>
      </w:numPr>
      <w:spacing w:before="200"/>
      <w:outlineLvl w:val="4"/>
    </w:pPr>
    <w:rPr>
      <w:rFonts w:eastAsiaTheme="majorEastAsia" w:cstheme="majorBidi"/>
      <w:color w:val="243F60" w:themeColor="accent1" w:themeShade="7F"/>
    </w:rPr>
  </w:style>
  <w:style w:type="paragraph" w:styleId="Nadpis6">
    <w:name w:val="heading 6"/>
    <w:basedOn w:val="Normln"/>
    <w:next w:val="Normln"/>
    <w:link w:val="Nadpis6Char"/>
    <w:uiPriority w:val="9"/>
    <w:semiHidden/>
    <w:unhideWhenUsed/>
    <w:qFormat/>
    <w:rsid w:val="00D905E2"/>
    <w:pPr>
      <w:keepNext/>
      <w:keepLines/>
      <w:numPr>
        <w:ilvl w:val="5"/>
        <w:numId w:val="3"/>
      </w:numPr>
      <w:spacing w:before="200"/>
      <w:outlineLvl w:val="5"/>
    </w:pPr>
    <w:rPr>
      <w:rFonts w:eastAsiaTheme="majorEastAsia" w:cstheme="majorBidi"/>
      <w:i/>
      <w:iCs/>
      <w:color w:val="243F60" w:themeColor="accent1" w:themeShade="7F"/>
    </w:rPr>
  </w:style>
  <w:style w:type="paragraph" w:styleId="Nadpis7">
    <w:name w:val="heading 7"/>
    <w:basedOn w:val="Normln"/>
    <w:next w:val="Normln"/>
    <w:link w:val="Nadpis7Char"/>
    <w:uiPriority w:val="9"/>
    <w:semiHidden/>
    <w:unhideWhenUsed/>
    <w:qFormat/>
    <w:rsid w:val="00D905E2"/>
    <w:pPr>
      <w:keepNext/>
      <w:keepLines/>
      <w:numPr>
        <w:ilvl w:val="6"/>
        <w:numId w:val="3"/>
      </w:numPr>
      <w:spacing w:before="200"/>
      <w:outlineLvl w:val="6"/>
    </w:pPr>
    <w:rPr>
      <w:rFonts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D905E2"/>
    <w:pPr>
      <w:keepNext/>
      <w:keepLines/>
      <w:numPr>
        <w:ilvl w:val="7"/>
        <w:numId w:val="3"/>
      </w:numPr>
      <w:spacing w:before="200"/>
      <w:outlineLvl w:val="7"/>
    </w:pPr>
    <w:rPr>
      <w:rFonts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905E2"/>
    <w:pPr>
      <w:keepNext/>
      <w:keepLines/>
      <w:numPr>
        <w:ilvl w:val="8"/>
        <w:numId w:val="3"/>
      </w:numPr>
      <w:spacing w:before="200"/>
      <w:outlineLvl w:val="8"/>
    </w:pPr>
    <w:rPr>
      <w:rFonts w:eastAsiaTheme="majorEastAsia"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_STING Char"/>
    <w:basedOn w:val="Standardnpsmoodstavce"/>
    <w:link w:val="Nadpis1"/>
    <w:rsid w:val="00D905E2"/>
    <w:rPr>
      <w:rFonts w:eastAsia="Times New Roman" w:cs="Arial"/>
      <w:b/>
      <w:bCs/>
      <w:kern w:val="32"/>
      <w:sz w:val="32"/>
      <w:szCs w:val="32"/>
      <w:lang w:val="en-GB"/>
    </w:rPr>
  </w:style>
  <w:style w:type="character" w:customStyle="1" w:styleId="Nadpis2Char">
    <w:name w:val="Nadpis 2 Char"/>
    <w:aliases w:val="Nadpis 2_STING Char"/>
    <w:basedOn w:val="Standardnpsmoodstavce"/>
    <w:link w:val="Nadpis2"/>
    <w:rsid w:val="00D905E2"/>
    <w:rPr>
      <w:rFonts w:eastAsia="Times New Roman" w:cs="Arial"/>
      <w:b/>
      <w:bCs/>
      <w:iCs/>
      <w:sz w:val="28"/>
      <w:szCs w:val="28"/>
      <w:lang w:val="en-GB"/>
    </w:rPr>
  </w:style>
  <w:style w:type="character" w:customStyle="1" w:styleId="Nadpis3Char">
    <w:name w:val="Nadpis 3 Char"/>
    <w:aliases w:val="Nadpis 3_STING Char"/>
    <w:basedOn w:val="Standardnpsmoodstavce"/>
    <w:link w:val="Nadpis3"/>
    <w:rsid w:val="00D905E2"/>
    <w:rPr>
      <w:rFonts w:eastAsia="Times New Roman" w:cs="Arial"/>
      <w:b/>
      <w:bCs/>
      <w:sz w:val="24"/>
      <w:szCs w:val="26"/>
      <w:lang w:val="en-GB"/>
    </w:rPr>
  </w:style>
  <w:style w:type="character" w:customStyle="1" w:styleId="Nadpis4Char">
    <w:name w:val="Nadpis 4 Char"/>
    <w:basedOn w:val="Standardnpsmoodstavce"/>
    <w:link w:val="Nadpis4"/>
    <w:uiPriority w:val="9"/>
    <w:rsid w:val="00E718D8"/>
    <w:rPr>
      <w:rFonts w:asciiTheme="minorHAnsi" w:eastAsiaTheme="minorEastAsia" w:hAnsiTheme="minorHAnsi" w:cstheme="minorBidi"/>
      <w:b/>
      <w:bCs/>
      <w:sz w:val="28"/>
      <w:szCs w:val="28"/>
      <w:lang w:val="en-GB"/>
    </w:rPr>
  </w:style>
  <w:style w:type="paragraph" w:styleId="Zpat">
    <w:name w:val="footer"/>
    <w:basedOn w:val="Normln"/>
    <w:link w:val="ZpatChar"/>
    <w:uiPriority w:val="99"/>
    <w:rsid w:val="00E718D8"/>
    <w:pPr>
      <w:tabs>
        <w:tab w:val="center" w:pos="4153"/>
        <w:tab w:val="right" w:pos="8306"/>
      </w:tabs>
    </w:pPr>
  </w:style>
  <w:style w:type="character" w:customStyle="1" w:styleId="ZpatChar">
    <w:name w:val="Zápatí Char"/>
    <w:basedOn w:val="Standardnpsmoodstavce"/>
    <w:link w:val="Zpat"/>
    <w:uiPriority w:val="99"/>
    <w:rsid w:val="00E718D8"/>
    <w:rPr>
      <w:rFonts w:asciiTheme="majorHAnsi" w:eastAsia="Times New Roman" w:hAnsiTheme="majorHAnsi"/>
      <w:sz w:val="24"/>
      <w:szCs w:val="24"/>
      <w:lang w:val="en-GB"/>
    </w:rPr>
  </w:style>
  <w:style w:type="paragraph" w:customStyle="1" w:styleId="STINGodstavec">
    <w:name w:val="STING_odstavec"/>
    <w:basedOn w:val="Normln"/>
    <w:next w:val="Normln"/>
    <w:link w:val="STINGodstavecChar"/>
    <w:rsid w:val="00741C4E"/>
    <w:pPr>
      <w:spacing w:after="120"/>
    </w:pPr>
  </w:style>
  <w:style w:type="paragraph" w:styleId="Nzev">
    <w:name w:val="Title"/>
    <w:aliases w:val="STING_nazev_prispevku"/>
    <w:basedOn w:val="Normln"/>
    <w:next w:val="STINGautor"/>
    <w:link w:val="NzevChar"/>
    <w:qFormat/>
    <w:rsid w:val="00D905E2"/>
    <w:pPr>
      <w:widowControl w:val="0"/>
      <w:suppressAutoHyphens/>
      <w:spacing w:after="460"/>
      <w:jc w:val="center"/>
      <w:outlineLvl w:val="0"/>
    </w:pPr>
    <w:rPr>
      <w:rFonts w:cs="Arial"/>
      <w:bCs/>
      <w:kern w:val="28"/>
      <w:sz w:val="50"/>
      <w:szCs w:val="32"/>
    </w:rPr>
  </w:style>
  <w:style w:type="character" w:customStyle="1" w:styleId="NzevChar">
    <w:name w:val="Název Char"/>
    <w:aliases w:val="STING_nazev_prispevku Char"/>
    <w:basedOn w:val="Standardnpsmoodstavce"/>
    <w:link w:val="Nzev"/>
    <w:rsid w:val="00D905E2"/>
    <w:rPr>
      <w:rFonts w:eastAsia="Times New Roman" w:cs="Arial"/>
      <w:bCs/>
      <w:kern w:val="28"/>
      <w:sz w:val="50"/>
      <w:szCs w:val="32"/>
      <w:lang w:val="en-GB"/>
    </w:rPr>
  </w:style>
  <w:style w:type="paragraph" w:customStyle="1" w:styleId="STINGautor">
    <w:name w:val="STING_autor"/>
    <w:basedOn w:val="Normln"/>
    <w:next w:val="STINGautoradresa"/>
    <w:rsid w:val="004F0EE2"/>
    <w:pPr>
      <w:widowControl w:val="0"/>
      <w:suppressAutoHyphens/>
      <w:spacing w:after="240"/>
      <w:jc w:val="center"/>
    </w:pPr>
    <w:rPr>
      <w:sz w:val="28"/>
    </w:rPr>
  </w:style>
  <w:style w:type="paragraph" w:customStyle="1" w:styleId="STINGautoradresa">
    <w:name w:val="STING_autor_adresa"/>
    <w:basedOn w:val="Normln"/>
    <w:rsid w:val="00E41BD4"/>
    <w:pPr>
      <w:widowControl w:val="0"/>
      <w:suppressAutoHyphens/>
      <w:ind w:left="113" w:hanging="113"/>
      <w:jc w:val="left"/>
    </w:pPr>
    <w:rPr>
      <w:i/>
    </w:rPr>
  </w:style>
  <w:style w:type="paragraph" w:customStyle="1" w:styleId="STINGabstrakt">
    <w:name w:val="STING_abstrakt"/>
    <w:basedOn w:val="Normln"/>
    <w:next w:val="Normln"/>
    <w:rsid w:val="00293164"/>
  </w:style>
  <w:style w:type="paragraph" w:customStyle="1" w:styleId="STINGobjektzdroj">
    <w:name w:val="STING_objekt_zdroj"/>
    <w:basedOn w:val="Normln"/>
    <w:next w:val="STINGodstavec"/>
    <w:rsid w:val="00E41BD4"/>
    <w:pPr>
      <w:keepLines/>
      <w:widowControl w:val="0"/>
      <w:spacing w:after="240"/>
      <w:jc w:val="right"/>
    </w:pPr>
    <w:rPr>
      <w:sz w:val="20"/>
    </w:rPr>
  </w:style>
  <w:style w:type="character" w:customStyle="1" w:styleId="Nadpis5Char">
    <w:name w:val="Nadpis 5 Char"/>
    <w:basedOn w:val="Standardnpsmoodstavce"/>
    <w:link w:val="Nadpis5"/>
    <w:uiPriority w:val="9"/>
    <w:semiHidden/>
    <w:rsid w:val="00D905E2"/>
    <w:rPr>
      <w:rFonts w:asciiTheme="majorHAnsi" w:eastAsiaTheme="majorEastAsia" w:hAnsiTheme="majorHAnsi" w:cstheme="majorBidi"/>
      <w:color w:val="243F60" w:themeColor="accent1" w:themeShade="7F"/>
      <w:sz w:val="24"/>
      <w:szCs w:val="24"/>
      <w:lang w:val="en-GB"/>
    </w:rPr>
  </w:style>
  <w:style w:type="paragraph" w:customStyle="1" w:styleId="STINGzdroje">
    <w:name w:val="STING_zdroje"/>
    <w:basedOn w:val="Normln"/>
    <w:next w:val="STINGzdroj"/>
    <w:rsid w:val="00E718D8"/>
    <w:pPr>
      <w:widowControl w:val="0"/>
      <w:suppressAutoHyphens/>
      <w:spacing w:before="520" w:after="280"/>
      <w:jc w:val="left"/>
    </w:pPr>
    <w:rPr>
      <w:b/>
      <w:sz w:val="34"/>
    </w:rPr>
  </w:style>
  <w:style w:type="paragraph" w:customStyle="1" w:styleId="STINGvzorce">
    <w:name w:val="STING_vzorce"/>
    <w:basedOn w:val="Normln"/>
    <w:next w:val="STINGodstavec"/>
    <w:rsid w:val="00535735"/>
    <w:pPr>
      <w:widowControl w:val="0"/>
      <w:tabs>
        <w:tab w:val="center" w:pos="4253"/>
        <w:tab w:val="left" w:pos="8505"/>
      </w:tabs>
      <w:spacing w:before="280" w:after="140"/>
      <w:jc w:val="center"/>
    </w:pPr>
  </w:style>
  <w:style w:type="character" w:styleId="slostrnky">
    <w:name w:val="page number"/>
    <w:basedOn w:val="Standardnpsmoodstavce"/>
    <w:semiHidden/>
    <w:rsid w:val="00E718D8"/>
  </w:style>
  <w:style w:type="paragraph" w:styleId="Zhlav">
    <w:name w:val="header"/>
    <w:basedOn w:val="Normln"/>
    <w:link w:val="ZhlavChar"/>
    <w:uiPriority w:val="99"/>
    <w:unhideWhenUsed/>
    <w:rsid w:val="00E718D8"/>
    <w:pPr>
      <w:tabs>
        <w:tab w:val="center" w:pos="4536"/>
        <w:tab w:val="right" w:pos="9072"/>
      </w:tabs>
    </w:pPr>
  </w:style>
  <w:style w:type="character" w:customStyle="1" w:styleId="ZhlavChar">
    <w:name w:val="Záhlaví Char"/>
    <w:basedOn w:val="Standardnpsmoodstavce"/>
    <w:link w:val="Zhlav"/>
    <w:uiPriority w:val="99"/>
    <w:rsid w:val="00E718D8"/>
    <w:rPr>
      <w:rFonts w:asciiTheme="majorHAnsi" w:eastAsia="Times New Roman" w:hAnsiTheme="majorHAnsi"/>
      <w:sz w:val="24"/>
      <w:szCs w:val="24"/>
      <w:lang w:val="en-GB"/>
    </w:rPr>
  </w:style>
  <w:style w:type="paragraph" w:customStyle="1" w:styleId="STINGobjekt">
    <w:name w:val="STING_objekt"/>
    <w:basedOn w:val="Normln"/>
    <w:next w:val="STINGobjektzdroj"/>
    <w:rsid w:val="00E41BD4"/>
    <w:pPr>
      <w:keepNext/>
      <w:spacing w:before="240" w:after="240"/>
      <w:jc w:val="center"/>
    </w:pPr>
  </w:style>
  <w:style w:type="paragraph" w:customStyle="1" w:styleId="STINGkonference">
    <w:name w:val="STING_konference"/>
    <w:basedOn w:val="Normln"/>
    <w:next w:val="Nzev"/>
    <w:qFormat/>
    <w:rsid w:val="00E41BD4"/>
    <w:pPr>
      <w:autoSpaceDE w:val="0"/>
      <w:autoSpaceDN w:val="0"/>
      <w:adjustRightInd w:val="0"/>
      <w:spacing w:after="480"/>
      <w:jc w:val="center"/>
    </w:pPr>
    <w:rPr>
      <w:rFonts w:cs="TimesNewRoman"/>
      <w:sz w:val="32"/>
      <w:szCs w:val="23"/>
      <w:lang w:val="cs-CZ" w:eastAsia="cs-CZ"/>
    </w:rPr>
  </w:style>
  <w:style w:type="paragraph" w:customStyle="1" w:styleId="STINGabstraktnadpis">
    <w:name w:val="STING_abstrakt_nadpis"/>
    <w:basedOn w:val="Nzev"/>
    <w:next w:val="STINGabstrakt"/>
    <w:rsid w:val="00E41BD4"/>
    <w:pPr>
      <w:spacing w:before="480" w:after="120"/>
      <w:jc w:val="left"/>
      <w:outlineLvl w:val="9"/>
    </w:pPr>
    <w:rPr>
      <w:rFonts w:eastAsia="MS Mincho"/>
      <w:b/>
      <w:sz w:val="24"/>
      <w:lang w:val="en-US"/>
    </w:rPr>
  </w:style>
  <w:style w:type="paragraph" w:customStyle="1" w:styleId="STINGklicovaslova">
    <w:name w:val="STING_klicova_slova"/>
    <w:basedOn w:val="Normln"/>
    <w:next w:val="Nadpis1"/>
    <w:qFormat/>
    <w:rsid w:val="00C050F9"/>
    <w:pPr>
      <w:spacing w:before="240"/>
    </w:pPr>
    <w:rPr>
      <w:rFonts w:eastAsia="MS Mincho"/>
      <w:lang w:val="en-US"/>
    </w:rPr>
  </w:style>
  <w:style w:type="table" w:styleId="Mkatabulky">
    <w:name w:val="Table Grid"/>
    <w:basedOn w:val="Normlntabulka"/>
    <w:uiPriority w:val="59"/>
    <w:rsid w:val="00E718D8"/>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NGtabulkaobsah">
    <w:name w:val="STING_tabulka_obsah"/>
    <w:basedOn w:val="Normln"/>
    <w:rsid w:val="00D905E2"/>
    <w:pPr>
      <w:jc w:val="left"/>
    </w:pPr>
    <w:rPr>
      <w:rFonts w:eastAsia="MS Mincho"/>
      <w:sz w:val="22"/>
      <w:lang w:val="en-US"/>
    </w:rPr>
  </w:style>
  <w:style w:type="paragraph" w:customStyle="1" w:styleId="STINGzdroj">
    <w:name w:val="STING_zdroj"/>
    <w:basedOn w:val="Normln"/>
    <w:qFormat/>
    <w:rsid w:val="00C050F9"/>
    <w:pPr>
      <w:numPr>
        <w:numId w:val="2"/>
      </w:numPr>
      <w:spacing w:after="120"/>
    </w:pPr>
    <w:rPr>
      <w:lang w:val="en-US"/>
    </w:rPr>
  </w:style>
  <w:style w:type="paragraph" w:customStyle="1" w:styleId="STINGafilace">
    <w:name w:val="STING_afilace"/>
    <w:basedOn w:val="STINGzdroje"/>
    <w:next w:val="STINGodstavec"/>
    <w:qFormat/>
    <w:rsid w:val="004F0EE2"/>
    <w:rPr>
      <w:rFonts w:eastAsia="MS Mincho"/>
      <w:sz w:val="28"/>
      <w:lang w:val="en-US"/>
    </w:rPr>
  </w:style>
  <w:style w:type="paragraph" w:styleId="Textbubliny">
    <w:name w:val="Balloon Text"/>
    <w:basedOn w:val="Normln"/>
    <w:link w:val="TextbublinyChar"/>
    <w:uiPriority w:val="99"/>
    <w:semiHidden/>
    <w:unhideWhenUsed/>
    <w:rsid w:val="00E718D8"/>
    <w:rPr>
      <w:rFonts w:ascii="Tahoma" w:hAnsi="Tahoma" w:cs="Tahoma"/>
      <w:sz w:val="16"/>
      <w:szCs w:val="16"/>
    </w:rPr>
  </w:style>
  <w:style w:type="character" w:customStyle="1" w:styleId="TextbublinyChar">
    <w:name w:val="Text bubliny Char"/>
    <w:basedOn w:val="Standardnpsmoodstavce"/>
    <w:link w:val="Textbubliny"/>
    <w:uiPriority w:val="99"/>
    <w:semiHidden/>
    <w:rsid w:val="00E718D8"/>
    <w:rPr>
      <w:rFonts w:ascii="Tahoma" w:eastAsia="Times New Roman" w:hAnsi="Tahoma" w:cs="Tahoma"/>
      <w:sz w:val="16"/>
      <w:szCs w:val="16"/>
      <w:lang w:val="en-GB"/>
    </w:rPr>
  </w:style>
  <w:style w:type="paragraph" w:customStyle="1" w:styleId="STINGobjektnazev">
    <w:name w:val="STING_objekt_nazev"/>
    <w:basedOn w:val="STINGodstavec"/>
    <w:link w:val="STINGobjektnazevChar"/>
    <w:qFormat/>
    <w:rsid w:val="00E41BD4"/>
    <w:pPr>
      <w:spacing w:before="240"/>
      <w:jc w:val="left"/>
    </w:pPr>
    <w:rPr>
      <w:b/>
      <w:lang w:val="en-US"/>
    </w:rPr>
  </w:style>
  <w:style w:type="paragraph" w:styleId="Textpoznpodarou">
    <w:name w:val="footnote text"/>
    <w:basedOn w:val="Normln"/>
    <w:link w:val="TextpoznpodarouChar"/>
    <w:uiPriority w:val="99"/>
    <w:semiHidden/>
    <w:unhideWhenUsed/>
    <w:rsid w:val="00E41BD4"/>
    <w:rPr>
      <w:sz w:val="20"/>
      <w:szCs w:val="20"/>
    </w:rPr>
  </w:style>
  <w:style w:type="character" w:customStyle="1" w:styleId="STINGodstavecChar">
    <w:name w:val="STING_odstavec Char"/>
    <w:basedOn w:val="Standardnpsmoodstavce"/>
    <w:link w:val="STINGodstavec"/>
    <w:rsid w:val="00741C4E"/>
    <w:rPr>
      <w:rFonts w:eastAsia="Times New Roman"/>
      <w:sz w:val="24"/>
      <w:szCs w:val="24"/>
      <w:lang w:val="en-GB"/>
    </w:rPr>
  </w:style>
  <w:style w:type="character" w:customStyle="1" w:styleId="STINGobjektnazevChar">
    <w:name w:val="STING_objekt_nazev Char"/>
    <w:basedOn w:val="STINGodstavecChar"/>
    <w:link w:val="STINGobjektnazev"/>
    <w:rsid w:val="00E41BD4"/>
    <w:rPr>
      <w:rFonts w:eastAsia="Times New Roman"/>
      <w:b/>
      <w:sz w:val="24"/>
      <w:szCs w:val="24"/>
      <w:lang w:val="en-US"/>
    </w:rPr>
  </w:style>
  <w:style w:type="character" w:customStyle="1" w:styleId="TextpoznpodarouChar">
    <w:name w:val="Text pozn. pod čarou Char"/>
    <w:basedOn w:val="Standardnpsmoodstavce"/>
    <w:link w:val="Textpoznpodarou"/>
    <w:uiPriority w:val="99"/>
    <w:semiHidden/>
    <w:rsid w:val="00E41BD4"/>
    <w:rPr>
      <w:rFonts w:asciiTheme="majorHAnsi" w:eastAsia="Times New Roman" w:hAnsiTheme="majorHAnsi"/>
      <w:lang w:val="en-GB"/>
    </w:rPr>
  </w:style>
  <w:style w:type="character" w:styleId="Znakapoznpodarou">
    <w:name w:val="footnote reference"/>
    <w:basedOn w:val="Standardnpsmoodstavce"/>
    <w:uiPriority w:val="99"/>
    <w:unhideWhenUsed/>
    <w:rsid w:val="00E41BD4"/>
    <w:rPr>
      <w:vertAlign w:val="superscript"/>
    </w:rPr>
  </w:style>
  <w:style w:type="character" w:styleId="Hypertextovodkaz">
    <w:name w:val="Hyperlink"/>
    <w:basedOn w:val="Standardnpsmoodstavce"/>
    <w:uiPriority w:val="99"/>
    <w:unhideWhenUsed/>
    <w:rsid w:val="00E35E4B"/>
    <w:rPr>
      <w:color w:val="0000FF" w:themeColor="hyperlink"/>
      <w:u w:val="single"/>
    </w:rPr>
  </w:style>
  <w:style w:type="character" w:customStyle="1" w:styleId="Nadpis6Char">
    <w:name w:val="Nadpis 6 Char"/>
    <w:basedOn w:val="Standardnpsmoodstavce"/>
    <w:link w:val="Nadpis6"/>
    <w:uiPriority w:val="9"/>
    <w:semiHidden/>
    <w:rsid w:val="00D905E2"/>
    <w:rPr>
      <w:rFonts w:asciiTheme="majorHAnsi" w:eastAsiaTheme="majorEastAsia" w:hAnsiTheme="majorHAnsi" w:cstheme="majorBidi"/>
      <w:i/>
      <w:iCs/>
      <w:color w:val="243F60" w:themeColor="accent1" w:themeShade="7F"/>
      <w:sz w:val="24"/>
      <w:szCs w:val="24"/>
      <w:lang w:val="en-GB"/>
    </w:rPr>
  </w:style>
  <w:style w:type="character" w:customStyle="1" w:styleId="Nadpis7Char">
    <w:name w:val="Nadpis 7 Char"/>
    <w:basedOn w:val="Standardnpsmoodstavce"/>
    <w:link w:val="Nadpis7"/>
    <w:uiPriority w:val="9"/>
    <w:semiHidden/>
    <w:rsid w:val="00D905E2"/>
    <w:rPr>
      <w:rFonts w:asciiTheme="majorHAnsi" w:eastAsiaTheme="majorEastAsia" w:hAnsiTheme="majorHAnsi" w:cstheme="majorBidi"/>
      <w:i/>
      <w:iCs/>
      <w:color w:val="404040" w:themeColor="text1" w:themeTint="BF"/>
      <w:sz w:val="24"/>
      <w:szCs w:val="24"/>
      <w:lang w:val="en-GB"/>
    </w:rPr>
  </w:style>
  <w:style w:type="character" w:customStyle="1" w:styleId="Nadpis8Char">
    <w:name w:val="Nadpis 8 Char"/>
    <w:basedOn w:val="Standardnpsmoodstavce"/>
    <w:link w:val="Nadpis8"/>
    <w:uiPriority w:val="9"/>
    <w:semiHidden/>
    <w:rsid w:val="00D905E2"/>
    <w:rPr>
      <w:rFonts w:asciiTheme="majorHAnsi" w:eastAsiaTheme="majorEastAsia" w:hAnsiTheme="majorHAnsi" w:cstheme="majorBidi"/>
      <w:color w:val="404040" w:themeColor="text1" w:themeTint="BF"/>
      <w:lang w:val="en-GB"/>
    </w:rPr>
  </w:style>
  <w:style w:type="character" w:customStyle="1" w:styleId="Nadpis9Char">
    <w:name w:val="Nadpis 9 Char"/>
    <w:basedOn w:val="Standardnpsmoodstavce"/>
    <w:link w:val="Nadpis9"/>
    <w:uiPriority w:val="9"/>
    <w:semiHidden/>
    <w:rsid w:val="00D905E2"/>
    <w:rPr>
      <w:rFonts w:asciiTheme="majorHAnsi" w:eastAsiaTheme="majorEastAsia" w:hAnsiTheme="majorHAnsi" w:cstheme="majorBidi"/>
      <w:i/>
      <w:iCs/>
      <w:color w:val="404040" w:themeColor="text1" w:themeTint="BF"/>
      <w:lang w:val="en-GB"/>
    </w:rPr>
  </w:style>
  <w:style w:type="paragraph" w:styleId="Odstavecseseznamem">
    <w:name w:val="List Paragraph"/>
    <w:basedOn w:val="Normln"/>
    <w:uiPriority w:val="34"/>
    <w:qFormat/>
    <w:rsid w:val="00415FCE"/>
    <w:pPr>
      <w:ind w:left="720"/>
      <w:contextualSpacing/>
    </w:pPr>
  </w:style>
  <w:style w:type="paragraph" w:customStyle="1" w:styleId="Podarou">
    <w:name w:val="Pod čarou"/>
    <w:basedOn w:val="Textpoznpodarou"/>
    <w:link w:val="PodarouChar"/>
    <w:qFormat/>
    <w:rsid w:val="00F628CE"/>
    <w:pPr>
      <w:ind w:left="170" w:hanging="170"/>
      <w:jc w:val="left"/>
    </w:pPr>
    <w:rPr>
      <w:rFonts w:asciiTheme="majorHAnsi" w:hAnsiTheme="majorHAnsi" w:cs="Courier New"/>
      <w:lang w:eastAsia="cs-CZ"/>
    </w:rPr>
  </w:style>
  <w:style w:type="character" w:customStyle="1" w:styleId="PodarouChar">
    <w:name w:val="Pod čarou Char"/>
    <w:basedOn w:val="TextpoznpodarouChar"/>
    <w:link w:val="Podarou"/>
    <w:rsid w:val="00F628CE"/>
    <w:rPr>
      <w:rFonts w:asciiTheme="majorHAnsi" w:eastAsia="Times New Roman" w:hAnsiTheme="majorHAnsi" w:cs="Courier New"/>
      <w:lang w:val="en-GB" w:eastAsia="cs-CZ"/>
    </w:rPr>
  </w:style>
  <w:style w:type="paragraph" w:customStyle="1" w:styleId="Dalodstavce">
    <w:name w:val="Další odstavce"/>
    <w:basedOn w:val="Normln"/>
    <w:link w:val="DalodstavceChar"/>
    <w:qFormat/>
    <w:rsid w:val="00F628CE"/>
    <w:pPr>
      <w:spacing w:line="360" w:lineRule="auto"/>
    </w:pPr>
    <w:rPr>
      <w:rFonts w:cs="Courier New"/>
      <w:lang w:val="cs-CZ" w:eastAsia="cs-CZ"/>
    </w:rPr>
  </w:style>
  <w:style w:type="character" w:customStyle="1" w:styleId="DalodstavceChar">
    <w:name w:val="Další odstavce Char"/>
    <w:basedOn w:val="Standardnpsmoodstavce"/>
    <w:link w:val="Dalodstavce"/>
    <w:rsid w:val="00F628CE"/>
    <w:rPr>
      <w:rFonts w:eastAsia="Times New Roman" w:cs="Courier New"/>
      <w:sz w:val="24"/>
      <w:szCs w:val="24"/>
      <w:lang w:eastAsia="cs-CZ"/>
    </w:rPr>
  </w:style>
  <w:style w:type="paragraph" w:customStyle="1" w:styleId="Seznamtabulek">
    <w:name w:val="Seznam tabulek"/>
    <w:aliases w:val="grafů a obrázků"/>
    <w:basedOn w:val="Obsah2"/>
    <w:link w:val="SeznamtabulekChar"/>
    <w:qFormat/>
    <w:rsid w:val="00F628CE"/>
    <w:pPr>
      <w:tabs>
        <w:tab w:val="left" w:pos="993"/>
        <w:tab w:val="right" w:leader="dot" w:pos="8210"/>
      </w:tabs>
      <w:spacing w:before="60" w:after="0" w:line="360" w:lineRule="auto"/>
      <w:ind w:left="0"/>
      <w:jc w:val="left"/>
    </w:pPr>
    <w:rPr>
      <w:rFonts w:eastAsiaTheme="minorEastAsia"/>
      <w:b/>
      <w:bCs/>
      <w:noProof/>
      <w:szCs w:val="22"/>
      <w:lang w:val="cs-CZ" w:eastAsia="cs-CZ"/>
    </w:rPr>
  </w:style>
  <w:style w:type="character" w:customStyle="1" w:styleId="SeznamtabulekChar">
    <w:name w:val="Seznam tabulek Char"/>
    <w:aliases w:val="grafů a obrázků Char"/>
    <w:basedOn w:val="Standardnpsmoodstavce"/>
    <w:link w:val="Seznamtabulek"/>
    <w:rsid w:val="00F628CE"/>
    <w:rPr>
      <w:rFonts w:eastAsiaTheme="minorEastAsia"/>
      <w:b/>
      <w:bCs/>
      <w:noProof/>
      <w:sz w:val="24"/>
      <w:szCs w:val="22"/>
      <w:lang w:eastAsia="cs-CZ"/>
    </w:rPr>
  </w:style>
  <w:style w:type="paragraph" w:styleId="Obsah2">
    <w:name w:val="toc 2"/>
    <w:basedOn w:val="Normln"/>
    <w:next w:val="Normln"/>
    <w:autoRedefine/>
    <w:uiPriority w:val="39"/>
    <w:semiHidden/>
    <w:unhideWhenUsed/>
    <w:rsid w:val="00F628CE"/>
    <w:pPr>
      <w:spacing w:after="100"/>
      <w:ind w:left="240"/>
    </w:pPr>
  </w:style>
  <w:style w:type="paragraph" w:customStyle="1" w:styleId="Seznamliteratury">
    <w:name w:val="Seznam literatury"/>
    <w:basedOn w:val="Normlnweb"/>
    <w:link w:val="SeznamliteraturyChar"/>
    <w:qFormat/>
    <w:rsid w:val="00EF010C"/>
    <w:pPr>
      <w:spacing w:before="240"/>
      <w:jc w:val="left"/>
    </w:pPr>
    <w:rPr>
      <w:lang w:val="cs-CZ" w:eastAsia="cs-CZ"/>
    </w:rPr>
  </w:style>
  <w:style w:type="character" w:customStyle="1" w:styleId="SeznamliteraturyChar">
    <w:name w:val="Seznam literatury Char"/>
    <w:basedOn w:val="Standardnpsmoodstavce"/>
    <w:link w:val="Seznamliteratury"/>
    <w:rsid w:val="00EF010C"/>
    <w:rPr>
      <w:rFonts w:eastAsia="Times New Roman"/>
      <w:sz w:val="24"/>
      <w:szCs w:val="24"/>
      <w:lang w:eastAsia="cs-CZ"/>
    </w:rPr>
  </w:style>
  <w:style w:type="paragraph" w:styleId="Normlnweb">
    <w:name w:val="Normal (Web)"/>
    <w:basedOn w:val="Normln"/>
    <w:uiPriority w:val="99"/>
    <w:semiHidden/>
    <w:unhideWhenUsed/>
    <w:rsid w:val="00EF0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EE9"/>
    <w:pPr>
      <w:spacing w:before="120"/>
      <w:jc w:val="both"/>
    </w:pPr>
    <w:rPr>
      <w:rFonts w:eastAsia="Times New Roman"/>
      <w:sz w:val="24"/>
      <w:szCs w:val="24"/>
      <w:lang w:val="en-GB"/>
    </w:rPr>
  </w:style>
  <w:style w:type="paragraph" w:styleId="Nadpis1">
    <w:name w:val="heading 1"/>
    <w:aliases w:val="Nadpis 1_STING"/>
    <w:basedOn w:val="Normln"/>
    <w:next w:val="STINGodstavec"/>
    <w:link w:val="Nadpis1Char"/>
    <w:rsid w:val="00D905E2"/>
    <w:pPr>
      <w:keepNext/>
      <w:keepLines/>
      <w:widowControl w:val="0"/>
      <w:numPr>
        <w:numId w:val="3"/>
      </w:numPr>
      <w:suppressAutoHyphens/>
      <w:spacing w:before="520" w:after="280"/>
      <w:jc w:val="left"/>
      <w:outlineLvl w:val="0"/>
    </w:pPr>
    <w:rPr>
      <w:rFonts w:cs="Arial"/>
      <w:b/>
      <w:bCs/>
      <w:kern w:val="32"/>
      <w:sz w:val="32"/>
      <w:szCs w:val="32"/>
    </w:rPr>
  </w:style>
  <w:style w:type="paragraph" w:styleId="Nadpis2">
    <w:name w:val="heading 2"/>
    <w:aliases w:val="Nadpis 2_STING"/>
    <w:basedOn w:val="Normln"/>
    <w:next w:val="STINGodstavec"/>
    <w:link w:val="Nadpis2Char"/>
    <w:qFormat/>
    <w:rsid w:val="00D905E2"/>
    <w:pPr>
      <w:keepNext/>
      <w:keepLines/>
      <w:widowControl w:val="0"/>
      <w:numPr>
        <w:ilvl w:val="1"/>
        <w:numId w:val="3"/>
      </w:numPr>
      <w:suppressAutoHyphens/>
      <w:spacing w:before="260" w:after="260"/>
      <w:jc w:val="left"/>
      <w:outlineLvl w:val="1"/>
    </w:pPr>
    <w:rPr>
      <w:rFonts w:cs="Arial"/>
      <w:b/>
      <w:bCs/>
      <w:iCs/>
      <w:sz w:val="28"/>
      <w:szCs w:val="28"/>
    </w:rPr>
  </w:style>
  <w:style w:type="paragraph" w:styleId="Nadpis3">
    <w:name w:val="heading 3"/>
    <w:aliases w:val="Nadpis 3_STING"/>
    <w:basedOn w:val="Normln"/>
    <w:next w:val="STINGodstavec"/>
    <w:link w:val="Nadpis3Char"/>
    <w:qFormat/>
    <w:rsid w:val="00D905E2"/>
    <w:pPr>
      <w:keepNext/>
      <w:keepLines/>
      <w:widowControl w:val="0"/>
      <w:numPr>
        <w:ilvl w:val="2"/>
        <w:numId w:val="3"/>
      </w:numPr>
      <w:suppressAutoHyphens/>
      <w:spacing w:before="240" w:after="120"/>
      <w:jc w:val="left"/>
      <w:outlineLvl w:val="2"/>
    </w:pPr>
    <w:rPr>
      <w:rFonts w:cs="Arial"/>
      <w:b/>
      <w:bCs/>
      <w:szCs w:val="26"/>
    </w:rPr>
  </w:style>
  <w:style w:type="paragraph" w:styleId="Nadpis4">
    <w:name w:val="heading 4"/>
    <w:basedOn w:val="Normln"/>
    <w:next w:val="Normln"/>
    <w:link w:val="Nadpis4Char"/>
    <w:uiPriority w:val="9"/>
    <w:unhideWhenUsed/>
    <w:qFormat/>
    <w:rsid w:val="00E718D8"/>
    <w:pPr>
      <w:keepNext/>
      <w:numPr>
        <w:ilvl w:val="3"/>
        <w:numId w:val="3"/>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rsid w:val="00D905E2"/>
    <w:pPr>
      <w:keepNext/>
      <w:keepLines/>
      <w:numPr>
        <w:ilvl w:val="4"/>
        <w:numId w:val="3"/>
      </w:numPr>
      <w:spacing w:before="200"/>
      <w:outlineLvl w:val="4"/>
    </w:pPr>
    <w:rPr>
      <w:rFonts w:eastAsiaTheme="majorEastAsia" w:cstheme="majorBidi"/>
      <w:color w:val="243F60" w:themeColor="accent1" w:themeShade="7F"/>
    </w:rPr>
  </w:style>
  <w:style w:type="paragraph" w:styleId="Nadpis6">
    <w:name w:val="heading 6"/>
    <w:basedOn w:val="Normln"/>
    <w:next w:val="Normln"/>
    <w:link w:val="Nadpis6Char"/>
    <w:uiPriority w:val="9"/>
    <w:semiHidden/>
    <w:unhideWhenUsed/>
    <w:qFormat/>
    <w:rsid w:val="00D905E2"/>
    <w:pPr>
      <w:keepNext/>
      <w:keepLines/>
      <w:numPr>
        <w:ilvl w:val="5"/>
        <w:numId w:val="3"/>
      </w:numPr>
      <w:spacing w:before="200"/>
      <w:outlineLvl w:val="5"/>
    </w:pPr>
    <w:rPr>
      <w:rFonts w:eastAsiaTheme="majorEastAsia" w:cstheme="majorBidi"/>
      <w:i/>
      <w:iCs/>
      <w:color w:val="243F60" w:themeColor="accent1" w:themeShade="7F"/>
    </w:rPr>
  </w:style>
  <w:style w:type="paragraph" w:styleId="Nadpis7">
    <w:name w:val="heading 7"/>
    <w:basedOn w:val="Normln"/>
    <w:next w:val="Normln"/>
    <w:link w:val="Nadpis7Char"/>
    <w:uiPriority w:val="9"/>
    <w:semiHidden/>
    <w:unhideWhenUsed/>
    <w:qFormat/>
    <w:rsid w:val="00D905E2"/>
    <w:pPr>
      <w:keepNext/>
      <w:keepLines/>
      <w:numPr>
        <w:ilvl w:val="6"/>
        <w:numId w:val="3"/>
      </w:numPr>
      <w:spacing w:before="200"/>
      <w:outlineLvl w:val="6"/>
    </w:pPr>
    <w:rPr>
      <w:rFonts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D905E2"/>
    <w:pPr>
      <w:keepNext/>
      <w:keepLines/>
      <w:numPr>
        <w:ilvl w:val="7"/>
        <w:numId w:val="3"/>
      </w:numPr>
      <w:spacing w:before="200"/>
      <w:outlineLvl w:val="7"/>
    </w:pPr>
    <w:rPr>
      <w:rFonts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905E2"/>
    <w:pPr>
      <w:keepNext/>
      <w:keepLines/>
      <w:numPr>
        <w:ilvl w:val="8"/>
        <w:numId w:val="3"/>
      </w:numPr>
      <w:spacing w:before="200"/>
      <w:outlineLvl w:val="8"/>
    </w:pPr>
    <w:rPr>
      <w:rFonts w:eastAsiaTheme="majorEastAsia"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_STING Char"/>
    <w:basedOn w:val="Standardnpsmoodstavce"/>
    <w:link w:val="Nadpis1"/>
    <w:rsid w:val="00D905E2"/>
    <w:rPr>
      <w:rFonts w:eastAsia="Times New Roman" w:cs="Arial"/>
      <w:b/>
      <w:bCs/>
      <w:kern w:val="32"/>
      <w:sz w:val="32"/>
      <w:szCs w:val="32"/>
      <w:lang w:val="en-GB"/>
    </w:rPr>
  </w:style>
  <w:style w:type="character" w:customStyle="1" w:styleId="Nadpis2Char">
    <w:name w:val="Nadpis 2 Char"/>
    <w:aliases w:val="Nadpis 2_STING Char"/>
    <w:basedOn w:val="Standardnpsmoodstavce"/>
    <w:link w:val="Nadpis2"/>
    <w:rsid w:val="00D905E2"/>
    <w:rPr>
      <w:rFonts w:eastAsia="Times New Roman" w:cs="Arial"/>
      <w:b/>
      <w:bCs/>
      <w:iCs/>
      <w:sz w:val="28"/>
      <w:szCs w:val="28"/>
      <w:lang w:val="en-GB"/>
    </w:rPr>
  </w:style>
  <w:style w:type="character" w:customStyle="1" w:styleId="Nadpis3Char">
    <w:name w:val="Nadpis 3 Char"/>
    <w:aliases w:val="Nadpis 3_STING Char"/>
    <w:basedOn w:val="Standardnpsmoodstavce"/>
    <w:link w:val="Nadpis3"/>
    <w:rsid w:val="00D905E2"/>
    <w:rPr>
      <w:rFonts w:eastAsia="Times New Roman" w:cs="Arial"/>
      <w:b/>
      <w:bCs/>
      <w:sz w:val="24"/>
      <w:szCs w:val="26"/>
      <w:lang w:val="en-GB"/>
    </w:rPr>
  </w:style>
  <w:style w:type="character" w:customStyle="1" w:styleId="Nadpis4Char">
    <w:name w:val="Nadpis 4 Char"/>
    <w:basedOn w:val="Standardnpsmoodstavce"/>
    <w:link w:val="Nadpis4"/>
    <w:uiPriority w:val="9"/>
    <w:rsid w:val="00E718D8"/>
    <w:rPr>
      <w:rFonts w:asciiTheme="minorHAnsi" w:eastAsiaTheme="minorEastAsia" w:hAnsiTheme="minorHAnsi" w:cstheme="minorBidi"/>
      <w:b/>
      <w:bCs/>
      <w:sz w:val="28"/>
      <w:szCs w:val="28"/>
      <w:lang w:val="en-GB"/>
    </w:rPr>
  </w:style>
  <w:style w:type="paragraph" w:styleId="Zpat">
    <w:name w:val="footer"/>
    <w:basedOn w:val="Normln"/>
    <w:link w:val="ZpatChar"/>
    <w:uiPriority w:val="99"/>
    <w:rsid w:val="00E718D8"/>
    <w:pPr>
      <w:tabs>
        <w:tab w:val="center" w:pos="4153"/>
        <w:tab w:val="right" w:pos="8306"/>
      </w:tabs>
    </w:pPr>
  </w:style>
  <w:style w:type="character" w:customStyle="1" w:styleId="ZpatChar">
    <w:name w:val="Zápatí Char"/>
    <w:basedOn w:val="Standardnpsmoodstavce"/>
    <w:link w:val="Zpat"/>
    <w:uiPriority w:val="99"/>
    <w:rsid w:val="00E718D8"/>
    <w:rPr>
      <w:rFonts w:asciiTheme="majorHAnsi" w:eastAsia="Times New Roman" w:hAnsiTheme="majorHAnsi"/>
      <w:sz w:val="24"/>
      <w:szCs w:val="24"/>
      <w:lang w:val="en-GB"/>
    </w:rPr>
  </w:style>
  <w:style w:type="paragraph" w:customStyle="1" w:styleId="STINGodstavec">
    <w:name w:val="STING_odstavec"/>
    <w:basedOn w:val="Normln"/>
    <w:next w:val="Normln"/>
    <w:link w:val="STINGodstavecChar"/>
    <w:rsid w:val="00741C4E"/>
    <w:pPr>
      <w:spacing w:after="120"/>
    </w:pPr>
  </w:style>
  <w:style w:type="paragraph" w:styleId="Nzev">
    <w:name w:val="Title"/>
    <w:aliases w:val="STING_nazev_prispevku"/>
    <w:basedOn w:val="Normln"/>
    <w:next w:val="STINGautor"/>
    <w:link w:val="NzevChar"/>
    <w:qFormat/>
    <w:rsid w:val="00D905E2"/>
    <w:pPr>
      <w:widowControl w:val="0"/>
      <w:suppressAutoHyphens/>
      <w:spacing w:after="460"/>
      <w:jc w:val="center"/>
      <w:outlineLvl w:val="0"/>
    </w:pPr>
    <w:rPr>
      <w:rFonts w:cs="Arial"/>
      <w:bCs/>
      <w:kern w:val="28"/>
      <w:sz w:val="50"/>
      <w:szCs w:val="32"/>
    </w:rPr>
  </w:style>
  <w:style w:type="character" w:customStyle="1" w:styleId="NzevChar">
    <w:name w:val="Název Char"/>
    <w:aliases w:val="STING_nazev_prispevku Char"/>
    <w:basedOn w:val="Standardnpsmoodstavce"/>
    <w:link w:val="Nzev"/>
    <w:rsid w:val="00D905E2"/>
    <w:rPr>
      <w:rFonts w:eastAsia="Times New Roman" w:cs="Arial"/>
      <w:bCs/>
      <w:kern w:val="28"/>
      <w:sz w:val="50"/>
      <w:szCs w:val="32"/>
      <w:lang w:val="en-GB"/>
    </w:rPr>
  </w:style>
  <w:style w:type="paragraph" w:customStyle="1" w:styleId="STINGautor">
    <w:name w:val="STING_autor"/>
    <w:basedOn w:val="Normln"/>
    <w:next w:val="STINGautoradresa"/>
    <w:rsid w:val="004F0EE2"/>
    <w:pPr>
      <w:widowControl w:val="0"/>
      <w:suppressAutoHyphens/>
      <w:spacing w:after="240"/>
      <w:jc w:val="center"/>
    </w:pPr>
    <w:rPr>
      <w:sz w:val="28"/>
    </w:rPr>
  </w:style>
  <w:style w:type="paragraph" w:customStyle="1" w:styleId="STINGautoradresa">
    <w:name w:val="STING_autor_adresa"/>
    <w:basedOn w:val="Normln"/>
    <w:rsid w:val="00E41BD4"/>
    <w:pPr>
      <w:widowControl w:val="0"/>
      <w:suppressAutoHyphens/>
      <w:ind w:left="113" w:hanging="113"/>
      <w:jc w:val="left"/>
    </w:pPr>
    <w:rPr>
      <w:i/>
    </w:rPr>
  </w:style>
  <w:style w:type="paragraph" w:customStyle="1" w:styleId="STINGabstrakt">
    <w:name w:val="STING_abstrakt"/>
    <w:basedOn w:val="Normln"/>
    <w:next w:val="Normln"/>
    <w:rsid w:val="00293164"/>
  </w:style>
  <w:style w:type="paragraph" w:customStyle="1" w:styleId="STINGobjektzdroj">
    <w:name w:val="STING_objekt_zdroj"/>
    <w:basedOn w:val="Normln"/>
    <w:next w:val="STINGodstavec"/>
    <w:rsid w:val="00E41BD4"/>
    <w:pPr>
      <w:keepLines/>
      <w:widowControl w:val="0"/>
      <w:spacing w:after="240"/>
      <w:jc w:val="right"/>
    </w:pPr>
    <w:rPr>
      <w:sz w:val="20"/>
    </w:rPr>
  </w:style>
  <w:style w:type="character" w:customStyle="1" w:styleId="Nadpis5Char">
    <w:name w:val="Nadpis 5 Char"/>
    <w:basedOn w:val="Standardnpsmoodstavce"/>
    <w:link w:val="Nadpis5"/>
    <w:uiPriority w:val="9"/>
    <w:semiHidden/>
    <w:rsid w:val="00D905E2"/>
    <w:rPr>
      <w:rFonts w:asciiTheme="majorHAnsi" w:eastAsiaTheme="majorEastAsia" w:hAnsiTheme="majorHAnsi" w:cstheme="majorBidi"/>
      <w:color w:val="243F60" w:themeColor="accent1" w:themeShade="7F"/>
      <w:sz w:val="24"/>
      <w:szCs w:val="24"/>
      <w:lang w:val="en-GB"/>
    </w:rPr>
  </w:style>
  <w:style w:type="paragraph" w:customStyle="1" w:styleId="STINGzdroje">
    <w:name w:val="STING_zdroje"/>
    <w:basedOn w:val="Normln"/>
    <w:next w:val="STINGzdroj"/>
    <w:rsid w:val="00E718D8"/>
    <w:pPr>
      <w:widowControl w:val="0"/>
      <w:suppressAutoHyphens/>
      <w:spacing w:before="520" w:after="280"/>
      <w:jc w:val="left"/>
    </w:pPr>
    <w:rPr>
      <w:b/>
      <w:sz w:val="34"/>
    </w:rPr>
  </w:style>
  <w:style w:type="paragraph" w:customStyle="1" w:styleId="STINGvzorce">
    <w:name w:val="STING_vzorce"/>
    <w:basedOn w:val="Normln"/>
    <w:next w:val="STINGodstavec"/>
    <w:rsid w:val="00535735"/>
    <w:pPr>
      <w:widowControl w:val="0"/>
      <w:tabs>
        <w:tab w:val="center" w:pos="4253"/>
        <w:tab w:val="left" w:pos="8505"/>
      </w:tabs>
      <w:spacing w:before="280" w:after="140"/>
      <w:jc w:val="center"/>
    </w:pPr>
  </w:style>
  <w:style w:type="character" w:styleId="slostrnky">
    <w:name w:val="page number"/>
    <w:basedOn w:val="Standardnpsmoodstavce"/>
    <w:semiHidden/>
    <w:rsid w:val="00E718D8"/>
  </w:style>
  <w:style w:type="paragraph" w:styleId="Zhlav">
    <w:name w:val="header"/>
    <w:basedOn w:val="Normln"/>
    <w:link w:val="ZhlavChar"/>
    <w:uiPriority w:val="99"/>
    <w:unhideWhenUsed/>
    <w:rsid w:val="00E718D8"/>
    <w:pPr>
      <w:tabs>
        <w:tab w:val="center" w:pos="4536"/>
        <w:tab w:val="right" w:pos="9072"/>
      </w:tabs>
    </w:pPr>
  </w:style>
  <w:style w:type="character" w:customStyle="1" w:styleId="ZhlavChar">
    <w:name w:val="Záhlaví Char"/>
    <w:basedOn w:val="Standardnpsmoodstavce"/>
    <w:link w:val="Zhlav"/>
    <w:uiPriority w:val="99"/>
    <w:rsid w:val="00E718D8"/>
    <w:rPr>
      <w:rFonts w:asciiTheme="majorHAnsi" w:eastAsia="Times New Roman" w:hAnsiTheme="majorHAnsi"/>
      <w:sz w:val="24"/>
      <w:szCs w:val="24"/>
      <w:lang w:val="en-GB"/>
    </w:rPr>
  </w:style>
  <w:style w:type="paragraph" w:customStyle="1" w:styleId="STINGobjekt">
    <w:name w:val="STING_objekt"/>
    <w:basedOn w:val="Normln"/>
    <w:next w:val="STINGobjektzdroj"/>
    <w:rsid w:val="00E41BD4"/>
    <w:pPr>
      <w:keepNext/>
      <w:spacing w:before="240" w:after="240"/>
      <w:jc w:val="center"/>
    </w:pPr>
  </w:style>
  <w:style w:type="paragraph" w:customStyle="1" w:styleId="STINGkonference">
    <w:name w:val="STING_konference"/>
    <w:basedOn w:val="Normln"/>
    <w:next w:val="Nzev"/>
    <w:qFormat/>
    <w:rsid w:val="00E41BD4"/>
    <w:pPr>
      <w:autoSpaceDE w:val="0"/>
      <w:autoSpaceDN w:val="0"/>
      <w:adjustRightInd w:val="0"/>
      <w:spacing w:after="480"/>
      <w:jc w:val="center"/>
    </w:pPr>
    <w:rPr>
      <w:rFonts w:cs="TimesNewRoman"/>
      <w:sz w:val="32"/>
      <w:szCs w:val="23"/>
      <w:lang w:val="cs-CZ" w:eastAsia="cs-CZ"/>
    </w:rPr>
  </w:style>
  <w:style w:type="paragraph" w:customStyle="1" w:styleId="STINGabstraktnadpis">
    <w:name w:val="STING_abstrakt_nadpis"/>
    <w:basedOn w:val="Nzev"/>
    <w:next w:val="STINGabstrakt"/>
    <w:rsid w:val="00E41BD4"/>
    <w:pPr>
      <w:spacing w:before="480" w:after="120"/>
      <w:jc w:val="left"/>
      <w:outlineLvl w:val="9"/>
    </w:pPr>
    <w:rPr>
      <w:rFonts w:eastAsia="MS Mincho"/>
      <w:b/>
      <w:sz w:val="24"/>
      <w:lang w:val="en-US"/>
    </w:rPr>
  </w:style>
  <w:style w:type="paragraph" w:customStyle="1" w:styleId="STINGklicovaslova">
    <w:name w:val="STING_klicova_slova"/>
    <w:basedOn w:val="Normln"/>
    <w:next w:val="Nadpis1"/>
    <w:qFormat/>
    <w:rsid w:val="00C050F9"/>
    <w:pPr>
      <w:spacing w:before="240"/>
    </w:pPr>
    <w:rPr>
      <w:rFonts w:eastAsia="MS Mincho"/>
      <w:lang w:val="en-US"/>
    </w:rPr>
  </w:style>
  <w:style w:type="table" w:styleId="Mkatabulky">
    <w:name w:val="Table Grid"/>
    <w:basedOn w:val="Normlntabulka"/>
    <w:uiPriority w:val="59"/>
    <w:rsid w:val="00E718D8"/>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NGtabulkaobsah">
    <w:name w:val="STING_tabulka_obsah"/>
    <w:basedOn w:val="Normln"/>
    <w:rsid w:val="00D905E2"/>
    <w:pPr>
      <w:jc w:val="left"/>
    </w:pPr>
    <w:rPr>
      <w:rFonts w:eastAsia="MS Mincho"/>
      <w:sz w:val="22"/>
      <w:lang w:val="en-US"/>
    </w:rPr>
  </w:style>
  <w:style w:type="paragraph" w:customStyle="1" w:styleId="STINGzdroj">
    <w:name w:val="STING_zdroj"/>
    <w:basedOn w:val="Normln"/>
    <w:qFormat/>
    <w:rsid w:val="00C050F9"/>
    <w:pPr>
      <w:numPr>
        <w:numId w:val="2"/>
      </w:numPr>
      <w:spacing w:after="120"/>
    </w:pPr>
    <w:rPr>
      <w:lang w:val="en-US"/>
    </w:rPr>
  </w:style>
  <w:style w:type="paragraph" w:customStyle="1" w:styleId="STINGafilace">
    <w:name w:val="STING_afilace"/>
    <w:basedOn w:val="STINGzdroje"/>
    <w:next w:val="STINGodstavec"/>
    <w:qFormat/>
    <w:rsid w:val="004F0EE2"/>
    <w:rPr>
      <w:rFonts w:eastAsia="MS Mincho"/>
      <w:sz w:val="28"/>
      <w:lang w:val="en-US"/>
    </w:rPr>
  </w:style>
  <w:style w:type="paragraph" w:styleId="Textbubliny">
    <w:name w:val="Balloon Text"/>
    <w:basedOn w:val="Normln"/>
    <w:link w:val="TextbublinyChar"/>
    <w:uiPriority w:val="99"/>
    <w:semiHidden/>
    <w:unhideWhenUsed/>
    <w:rsid w:val="00E718D8"/>
    <w:rPr>
      <w:rFonts w:ascii="Tahoma" w:hAnsi="Tahoma" w:cs="Tahoma"/>
      <w:sz w:val="16"/>
      <w:szCs w:val="16"/>
    </w:rPr>
  </w:style>
  <w:style w:type="character" w:customStyle="1" w:styleId="TextbublinyChar">
    <w:name w:val="Text bubliny Char"/>
    <w:basedOn w:val="Standardnpsmoodstavce"/>
    <w:link w:val="Textbubliny"/>
    <w:uiPriority w:val="99"/>
    <w:semiHidden/>
    <w:rsid w:val="00E718D8"/>
    <w:rPr>
      <w:rFonts w:ascii="Tahoma" w:eastAsia="Times New Roman" w:hAnsi="Tahoma" w:cs="Tahoma"/>
      <w:sz w:val="16"/>
      <w:szCs w:val="16"/>
      <w:lang w:val="en-GB"/>
    </w:rPr>
  </w:style>
  <w:style w:type="paragraph" w:customStyle="1" w:styleId="STINGobjektnazev">
    <w:name w:val="STING_objekt_nazev"/>
    <w:basedOn w:val="STINGodstavec"/>
    <w:link w:val="STINGobjektnazevChar"/>
    <w:qFormat/>
    <w:rsid w:val="00E41BD4"/>
    <w:pPr>
      <w:spacing w:before="240"/>
      <w:jc w:val="left"/>
    </w:pPr>
    <w:rPr>
      <w:b/>
      <w:lang w:val="en-US"/>
    </w:rPr>
  </w:style>
  <w:style w:type="paragraph" w:styleId="Textpoznpodarou">
    <w:name w:val="footnote text"/>
    <w:basedOn w:val="Normln"/>
    <w:link w:val="TextpoznpodarouChar"/>
    <w:uiPriority w:val="99"/>
    <w:semiHidden/>
    <w:unhideWhenUsed/>
    <w:rsid w:val="00E41BD4"/>
    <w:rPr>
      <w:sz w:val="20"/>
      <w:szCs w:val="20"/>
    </w:rPr>
  </w:style>
  <w:style w:type="character" w:customStyle="1" w:styleId="STINGodstavecChar">
    <w:name w:val="STING_odstavec Char"/>
    <w:basedOn w:val="Standardnpsmoodstavce"/>
    <w:link w:val="STINGodstavec"/>
    <w:rsid w:val="00741C4E"/>
    <w:rPr>
      <w:rFonts w:eastAsia="Times New Roman"/>
      <w:sz w:val="24"/>
      <w:szCs w:val="24"/>
      <w:lang w:val="en-GB"/>
    </w:rPr>
  </w:style>
  <w:style w:type="character" w:customStyle="1" w:styleId="STINGobjektnazevChar">
    <w:name w:val="STING_objekt_nazev Char"/>
    <w:basedOn w:val="STINGodstavecChar"/>
    <w:link w:val="STINGobjektnazev"/>
    <w:rsid w:val="00E41BD4"/>
    <w:rPr>
      <w:rFonts w:eastAsia="Times New Roman"/>
      <w:b/>
      <w:sz w:val="24"/>
      <w:szCs w:val="24"/>
      <w:lang w:val="en-US"/>
    </w:rPr>
  </w:style>
  <w:style w:type="character" w:customStyle="1" w:styleId="TextpoznpodarouChar">
    <w:name w:val="Text pozn. pod čarou Char"/>
    <w:basedOn w:val="Standardnpsmoodstavce"/>
    <w:link w:val="Textpoznpodarou"/>
    <w:uiPriority w:val="99"/>
    <w:semiHidden/>
    <w:rsid w:val="00E41BD4"/>
    <w:rPr>
      <w:rFonts w:asciiTheme="majorHAnsi" w:eastAsia="Times New Roman" w:hAnsiTheme="majorHAnsi"/>
      <w:lang w:val="en-GB"/>
    </w:rPr>
  </w:style>
  <w:style w:type="character" w:styleId="Znakapoznpodarou">
    <w:name w:val="footnote reference"/>
    <w:basedOn w:val="Standardnpsmoodstavce"/>
    <w:uiPriority w:val="99"/>
    <w:unhideWhenUsed/>
    <w:rsid w:val="00E41BD4"/>
    <w:rPr>
      <w:vertAlign w:val="superscript"/>
    </w:rPr>
  </w:style>
  <w:style w:type="character" w:styleId="Hypertextovodkaz">
    <w:name w:val="Hyperlink"/>
    <w:basedOn w:val="Standardnpsmoodstavce"/>
    <w:uiPriority w:val="99"/>
    <w:unhideWhenUsed/>
    <w:rsid w:val="00E35E4B"/>
    <w:rPr>
      <w:color w:val="0000FF" w:themeColor="hyperlink"/>
      <w:u w:val="single"/>
    </w:rPr>
  </w:style>
  <w:style w:type="character" w:customStyle="1" w:styleId="Nadpis6Char">
    <w:name w:val="Nadpis 6 Char"/>
    <w:basedOn w:val="Standardnpsmoodstavce"/>
    <w:link w:val="Nadpis6"/>
    <w:uiPriority w:val="9"/>
    <w:semiHidden/>
    <w:rsid w:val="00D905E2"/>
    <w:rPr>
      <w:rFonts w:asciiTheme="majorHAnsi" w:eastAsiaTheme="majorEastAsia" w:hAnsiTheme="majorHAnsi" w:cstheme="majorBidi"/>
      <w:i/>
      <w:iCs/>
      <w:color w:val="243F60" w:themeColor="accent1" w:themeShade="7F"/>
      <w:sz w:val="24"/>
      <w:szCs w:val="24"/>
      <w:lang w:val="en-GB"/>
    </w:rPr>
  </w:style>
  <w:style w:type="character" w:customStyle="1" w:styleId="Nadpis7Char">
    <w:name w:val="Nadpis 7 Char"/>
    <w:basedOn w:val="Standardnpsmoodstavce"/>
    <w:link w:val="Nadpis7"/>
    <w:uiPriority w:val="9"/>
    <w:semiHidden/>
    <w:rsid w:val="00D905E2"/>
    <w:rPr>
      <w:rFonts w:asciiTheme="majorHAnsi" w:eastAsiaTheme="majorEastAsia" w:hAnsiTheme="majorHAnsi" w:cstheme="majorBidi"/>
      <w:i/>
      <w:iCs/>
      <w:color w:val="404040" w:themeColor="text1" w:themeTint="BF"/>
      <w:sz w:val="24"/>
      <w:szCs w:val="24"/>
      <w:lang w:val="en-GB"/>
    </w:rPr>
  </w:style>
  <w:style w:type="character" w:customStyle="1" w:styleId="Nadpis8Char">
    <w:name w:val="Nadpis 8 Char"/>
    <w:basedOn w:val="Standardnpsmoodstavce"/>
    <w:link w:val="Nadpis8"/>
    <w:uiPriority w:val="9"/>
    <w:semiHidden/>
    <w:rsid w:val="00D905E2"/>
    <w:rPr>
      <w:rFonts w:asciiTheme="majorHAnsi" w:eastAsiaTheme="majorEastAsia" w:hAnsiTheme="majorHAnsi" w:cstheme="majorBidi"/>
      <w:color w:val="404040" w:themeColor="text1" w:themeTint="BF"/>
      <w:lang w:val="en-GB"/>
    </w:rPr>
  </w:style>
  <w:style w:type="character" w:customStyle="1" w:styleId="Nadpis9Char">
    <w:name w:val="Nadpis 9 Char"/>
    <w:basedOn w:val="Standardnpsmoodstavce"/>
    <w:link w:val="Nadpis9"/>
    <w:uiPriority w:val="9"/>
    <w:semiHidden/>
    <w:rsid w:val="00D905E2"/>
    <w:rPr>
      <w:rFonts w:asciiTheme="majorHAnsi" w:eastAsiaTheme="majorEastAsia" w:hAnsiTheme="majorHAnsi" w:cstheme="majorBidi"/>
      <w:i/>
      <w:iCs/>
      <w:color w:val="404040" w:themeColor="text1" w:themeTint="BF"/>
      <w:lang w:val="en-GB"/>
    </w:rPr>
  </w:style>
  <w:style w:type="paragraph" w:styleId="Odstavecseseznamem">
    <w:name w:val="List Paragraph"/>
    <w:basedOn w:val="Normln"/>
    <w:uiPriority w:val="34"/>
    <w:qFormat/>
    <w:rsid w:val="00415FCE"/>
    <w:pPr>
      <w:ind w:left="720"/>
      <w:contextualSpacing/>
    </w:pPr>
  </w:style>
  <w:style w:type="paragraph" w:customStyle="1" w:styleId="Podarou">
    <w:name w:val="Pod čarou"/>
    <w:basedOn w:val="Textpoznpodarou"/>
    <w:link w:val="PodarouChar"/>
    <w:qFormat/>
    <w:rsid w:val="00F628CE"/>
    <w:pPr>
      <w:ind w:left="170" w:hanging="170"/>
      <w:jc w:val="left"/>
    </w:pPr>
    <w:rPr>
      <w:rFonts w:asciiTheme="majorHAnsi" w:hAnsiTheme="majorHAnsi" w:cs="Courier New"/>
      <w:lang w:eastAsia="cs-CZ"/>
    </w:rPr>
  </w:style>
  <w:style w:type="character" w:customStyle="1" w:styleId="PodarouChar">
    <w:name w:val="Pod čarou Char"/>
    <w:basedOn w:val="TextpoznpodarouChar"/>
    <w:link w:val="Podarou"/>
    <w:rsid w:val="00F628CE"/>
    <w:rPr>
      <w:rFonts w:asciiTheme="majorHAnsi" w:eastAsia="Times New Roman" w:hAnsiTheme="majorHAnsi" w:cs="Courier New"/>
      <w:lang w:val="en-GB" w:eastAsia="cs-CZ"/>
    </w:rPr>
  </w:style>
  <w:style w:type="paragraph" w:customStyle="1" w:styleId="Dalodstavce">
    <w:name w:val="Další odstavce"/>
    <w:basedOn w:val="Normln"/>
    <w:link w:val="DalodstavceChar"/>
    <w:qFormat/>
    <w:rsid w:val="00F628CE"/>
    <w:pPr>
      <w:spacing w:line="360" w:lineRule="auto"/>
    </w:pPr>
    <w:rPr>
      <w:rFonts w:cs="Courier New"/>
      <w:lang w:val="cs-CZ" w:eastAsia="cs-CZ"/>
    </w:rPr>
  </w:style>
  <w:style w:type="character" w:customStyle="1" w:styleId="DalodstavceChar">
    <w:name w:val="Další odstavce Char"/>
    <w:basedOn w:val="Standardnpsmoodstavce"/>
    <w:link w:val="Dalodstavce"/>
    <w:rsid w:val="00F628CE"/>
    <w:rPr>
      <w:rFonts w:eastAsia="Times New Roman" w:cs="Courier New"/>
      <w:sz w:val="24"/>
      <w:szCs w:val="24"/>
      <w:lang w:eastAsia="cs-CZ"/>
    </w:rPr>
  </w:style>
  <w:style w:type="paragraph" w:customStyle="1" w:styleId="Seznamtabulek">
    <w:name w:val="Seznam tabulek"/>
    <w:aliases w:val="grafů a obrázků"/>
    <w:basedOn w:val="Obsah2"/>
    <w:link w:val="SeznamtabulekChar"/>
    <w:qFormat/>
    <w:rsid w:val="00F628CE"/>
    <w:pPr>
      <w:tabs>
        <w:tab w:val="left" w:pos="993"/>
        <w:tab w:val="right" w:leader="dot" w:pos="8210"/>
      </w:tabs>
      <w:spacing w:before="60" w:after="0" w:line="360" w:lineRule="auto"/>
      <w:ind w:left="0"/>
      <w:jc w:val="left"/>
    </w:pPr>
    <w:rPr>
      <w:rFonts w:eastAsiaTheme="minorEastAsia"/>
      <w:b/>
      <w:bCs/>
      <w:noProof/>
      <w:szCs w:val="22"/>
      <w:lang w:val="cs-CZ" w:eastAsia="cs-CZ"/>
    </w:rPr>
  </w:style>
  <w:style w:type="character" w:customStyle="1" w:styleId="SeznamtabulekChar">
    <w:name w:val="Seznam tabulek Char"/>
    <w:aliases w:val="grafů a obrázků Char"/>
    <w:basedOn w:val="Standardnpsmoodstavce"/>
    <w:link w:val="Seznamtabulek"/>
    <w:rsid w:val="00F628CE"/>
    <w:rPr>
      <w:rFonts w:eastAsiaTheme="minorEastAsia"/>
      <w:b/>
      <w:bCs/>
      <w:noProof/>
      <w:sz w:val="24"/>
      <w:szCs w:val="22"/>
      <w:lang w:eastAsia="cs-CZ"/>
    </w:rPr>
  </w:style>
  <w:style w:type="paragraph" w:styleId="Obsah2">
    <w:name w:val="toc 2"/>
    <w:basedOn w:val="Normln"/>
    <w:next w:val="Normln"/>
    <w:autoRedefine/>
    <w:uiPriority w:val="39"/>
    <w:semiHidden/>
    <w:unhideWhenUsed/>
    <w:rsid w:val="00F628CE"/>
    <w:pPr>
      <w:spacing w:after="100"/>
      <w:ind w:left="240"/>
    </w:pPr>
  </w:style>
  <w:style w:type="paragraph" w:customStyle="1" w:styleId="Seznamliteratury">
    <w:name w:val="Seznam literatury"/>
    <w:basedOn w:val="Normlnweb"/>
    <w:link w:val="SeznamliteraturyChar"/>
    <w:qFormat/>
    <w:rsid w:val="00EF010C"/>
    <w:pPr>
      <w:spacing w:before="240"/>
      <w:jc w:val="left"/>
    </w:pPr>
    <w:rPr>
      <w:lang w:val="cs-CZ" w:eastAsia="cs-CZ"/>
    </w:rPr>
  </w:style>
  <w:style w:type="character" w:customStyle="1" w:styleId="SeznamliteraturyChar">
    <w:name w:val="Seznam literatury Char"/>
    <w:basedOn w:val="Standardnpsmoodstavce"/>
    <w:link w:val="Seznamliteratury"/>
    <w:rsid w:val="00EF010C"/>
    <w:rPr>
      <w:rFonts w:eastAsia="Times New Roman"/>
      <w:sz w:val="24"/>
      <w:szCs w:val="24"/>
      <w:lang w:eastAsia="cs-CZ"/>
    </w:rPr>
  </w:style>
  <w:style w:type="paragraph" w:styleId="Normlnweb">
    <w:name w:val="Normal (Web)"/>
    <w:basedOn w:val="Normln"/>
    <w:uiPriority w:val="99"/>
    <w:semiHidden/>
    <w:unhideWhenUsed/>
    <w:rsid w:val="00EF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0788">
      <w:bodyDiv w:val="1"/>
      <w:marLeft w:val="0"/>
      <w:marRight w:val="0"/>
      <w:marTop w:val="0"/>
      <w:marBottom w:val="0"/>
      <w:divBdr>
        <w:top w:val="none" w:sz="0" w:space="0" w:color="auto"/>
        <w:left w:val="none" w:sz="0" w:space="0" w:color="auto"/>
        <w:bottom w:val="none" w:sz="0" w:space="0" w:color="auto"/>
        <w:right w:val="none" w:sz="0" w:space="0" w:color="auto"/>
      </w:divBdr>
      <w:divsChild>
        <w:div w:id="581911504">
          <w:marLeft w:val="432"/>
          <w:marRight w:val="0"/>
          <w:marTop w:val="86"/>
          <w:marBottom w:val="0"/>
          <w:divBdr>
            <w:top w:val="none" w:sz="0" w:space="0" w:color="auto"/>
            <w:left w:val="none" w:sz="0" w:space="0" w:color="auto"/>
            <w:bottom w:val="none" w:sz="0" w:space="0" w:color="auto"/>
            <w:right w:val="none" w:sz="0" w:space="0" w:color="auto"/>
          </w:divBdr>
        </w:div>
      </w:divsChild>
    </w:div>
    <w:div w:id="2123765911">
      <w:bodyDiv w:val="1"/>
      <w:marLeft w:val="0"/>
      <w:marRight w:val="0"/>
      <w:marTop w:val="0"/>
      <w:marBottom w:val="0"/>
      <w:divBdr>
        <w:top w:val="none" w:sz="0" w:space="0" w:color="auto"/>
        <w:left w:val="none" w:sz="0" w:space="0" w:color="auto"/>
        <w:bottom w:val="none" w:sz="0" w:space="0" w:color="auto"/>
        <w:right w:val="none" w:sz="0" w:space="0" w:color="auto"/>
      </w:divBdr>
      <w:divsChild>
        <w:div w:id="880165460">
          <w:marLeft w:val="432"/>
          <w:marRight w:val="0"/>
          <w:marTop w:val="86"/>
          <w:marBottom w:val="0"/>
          <w:divBdr>
            <w:top w:val="none" w:sz="0" w:space="0" w:color="auto"/>
            <w:left w:val="none" w:sz="0" w:space="0" w:color="auto"/>
            <w:bottom w:val="none" w:sz="0" w:space="0" w:color="auto"/>
            <w:right w:val="none" w:sz="0" w:space="0" w:color="auto"/>
          </w:divBdr>
        </w:div>
        <w:div w:id="907040105">
          <w:marLeft w:val="432"/>
          <w:marRight w:val="0"/>
          <w:marTop w:val="86"/>
          <w:marBottom w:val="0"/>
          <w:divBdr>
            <w:top w:val="none" w:sz="0" w:space="0" w:color="auto"/>
            <w:left w:val="none" w:sz="0" w:space="0" w:color="auto"/>
            <w:bottom w:val="none" w:sz="0" w:space="0" w:color="auto"/>
            <w:right w:val="none" w:sz="0" w:space="0" w:color="auto"/>
          </w:divBdr>
        </w:div>
        <w:div w:id="847446219">
          <w:marLeft w:val="432"/>
          <w:marRight w:val="0"/>
          <w:marTop w:val="86"/>
          <w:marBottom w:val="0"/>
          <w:divBdr>
            <w:top w:val="none" w:sz="0" w:space="0" w:color="auto"/>
            <w:left w:val="none" w:sz="0" w:space="0" w:color="auto"/>
            <w:bottom w:val="none" w:sz="0" w:space="0" w:color="auto"/>
            <w:right w:val="none" w:sz="0" w:space="0" w:color="auto"/>
          </w:divBdr>
        </w:div>
        <w:div w:id="1245067023">
          <w:marLeft w:val="432"/>
          <w:marRight w:val="0"/>
          <w:marTop w:val="86"/>
          <w:marBottom w:val="0"/>
          <w:divBdr>
            <w:top w:val="none" w:sz="0" w:space="0" w:color="auto"/>
            <w:left w:val="none" w:sz="0" w:space="0" w:color="auto"/>
            <w:bottom w:val="none" w:sz="0" w:space="0" w:color="auto"/>
            <w:right w:val="none" w:sz="0" w:space="0" w:color="auto"/>
          </w:divBdr>
        </w:div>
        <w:div w:id="328681867">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taxation_customs/resources/documents/taxation/gen_info/conferences/taxforum2011/delacroix_ppt.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czso.cz/documents/10180/20534668/a-1158-11a04+opr.pdf/5c88414b-4829-4942-8641-5de9bcd8e6a1?version=1.0" TargetMode="External"/><Relationship Id="rId17" Type="http://schemas.openxmlformats.org/officeDocument/2006/relationships/hyperlink" Target="http://www.americantaxpolicyinstitute.org/pdf/VAT/Schenk.pdf" TargetMode="External"/><Relationship Id="rId2" Type="http://schemas.openxmlformats.org/officeDocument/2006/relationships/numbering" Target="numbering.xml"/><Relationship Id="rId16" Type="http://schemas.openxmlformats.org/officeDocument/2006/relationships/hyperlink" Target="https://data.oecd.org/corporate/value-added-in-financial-corporation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f.org/external/np/seminars/eng/2010/paris/pdf/090110.pdf" TargetMode="External"/><Relationship Id="rId5" Type="http://schemas.openxmlformats.org/officeDocument/2006/relationships/settings" Target="settings.xml"/><Relationship Id="rId15" Type="http://schemas.openxmlformats.org/officeDocument/2006/relationships/hyperlink" Target="http://www.mfcr.cz/cs/vyhledavani?q=st%C3%A1tn%C3%AD+z%C3%A1v%C4%9Bre%C4%8Dn%C3%BD+%C3%BA%C4%8Det"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mf.org/external/np/g20/pdf/062710b.pdf"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5D145-7D8C-4824-995E-B9C4F00A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3054</Words>
  <Characters>18022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Admin</cp:lastModifiedBy>
  <cp:revision>2</cp:revision>
  <dcterms:created xsi:type="dcterms:W3CDTF">2016-12-13T15:32:00Z</dcterms:created>
  <dcterms:modified xsi:type="dcterms:W3CDTF">2016-12-13T15:32:00Z</dcterms:modified>
</cp:coreProperties>
</file>