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FF1" w:rsidRDefault="00362F9B" w:rsidP="00241162">
      <w:pPr>
        <w:pStyle w:val="NAZEVCLANKU"/>
        <w:jc w:val="center"/>
        <w:rPr>
          <w:lang w:val="en-GB"/>
        </w:rPr>
      </w:pPr>
      <w:bookmarkStart w:id="0" w:name="_GoBack"/>
      <w:r>
        <w:rPr>
          <w:lang w:val="en-GB"/>
        </w:rPr>
        <w:t xml:space="preserve">setting </w:t>
      </w:r>
      <w:r w:rsidR="00617B2C" w:rsidRPr="00CD7EA4">
        <w:rPr>
          <w:lang w:val="en-GB"/>
        </w:rPr>
        <w:t xml:space="preserve">The countercyclical capital buffer </w:t>
      </w:r>
      <w:r>
        <w:rPr>
          <w:lang w:val="en-GB"/>
        </w:rPr>
        <w:t>throughout the financial cycle</w:t>
      </w:r>
      <w:bookmarkEnd w:id="0"/>
    </w:p>
    <w:p w:rsidR="004566B4" w:rsidRPr="00CD7EA4" w:rsidRDefault="004566B4" w:rsidP="00241162">
      <w:pPr>
        <w:pStyle w:val="NAZEVCLANKU"/>
        <w:jc w:val="center"/>
        <w:rPr>
          <w:lang w:val="en-GB"/>
        </w:rPr>
      </w:pPr>
    </w:p>
    <w:p w:rsidR="004566B4" w:rsidRDefault="001B04A6" w:rsidP="004566B4">
      <w:pPr>
        <w:pStyle w:val="Hlavnitext"/>
        <w:spacing w:after="0"/>
        <w:jc w:val="center"/>
        <w:rPr>
          <w:lang w:val="en-GB"/>
        </w:rPr>
      </w:pPr>
      <w:bookmarkStart w:id="1" w:name="_Toc436319834"/>
      <w:bookmarkStart w:id="2" w:name="_Toc436375330"/>
      <w:bookmarkStart w:id="3" w:name="_Toc436661657"/>
      <w:r w:rsidRPr="004566B4">
        <w:rPr>
          <w:b/>
          <w:lang w:val="en-GB"/>
        </w:rPr>
        <w:t xml:space="preserve">Jan </w:t>
      </w:r>
      <w:proofErr w:type="spellStart"/>
      <w:r w:rsidRPr="004566B4">
        <w:rPr>
          <w:b/>
          <w:lang w:val="en-GB"/>
        </w:rPr>
        <w:t>Frait</w:t>
      </w:r>
      <w:proofErr w:type="spellEnd"/>
      <w:r w:rsidR="00132599">
        <w:rPr>
          <w:rStyle w:val="Znakapoznpodarou"/>
          <w:lang w:val="en-GB"/>
        </w:rPr>
        <w:footnoteReference w:id="1"/>
      </w:r>
      <w:r w:rsidRPr="004566B4">
        <w:rPr>
          <w:b/>
          <w:lang w:val="en-GB"/>
        </w:rPr>
        <w:t xml:space="preserve"> </w:t>
      </w:r>
      <w:r>
        <w:rPr>
          <w:lang w:val="en-GB"/>
        </w:rPr>
        <w:t>(corresponding author)</w:t>
      </w:r>
    </w:p>
    <w:p w:rsidR="004566B4" w:rsidRPr="00484CB8" w:rsidRDefault="004566B4" w:rsidP="004566B4">
      <w:pPr>
        <w:pStyle w:val="Hlavnitext"/>
        <w:spacing w:after="0"/>
        <w:jc w:val="center"/>
        <w:rPr>
          <w:i/>
          <w:lang w:val="en-GB"/>
        </w:rPr>
      </w:pPr>
      <w:r w:rsidRPr="00484CB8">
        <w:rPr>
          <w:i/>
          <w:lang w:val="en-GB"/>
        </w:rPr>
        <w:t>Czech National Bank, University of Finance and Administration Prague</w:t>
      </w:r>
      <w:r w:rsidR="00484CB8" w:rsidRPr="00484CB8">
        <w:rPr>
          <w:i/>
          <w:lang w:val="en-GB"/>
        </w:rPr>
        <w:t>,</w:t>
      </w:r>
      <w:r w:rsidRPr="00484CB8">
        <w:rPr>
          <w:i/>
          <w:lang w:val="en-GB"/>
        </w:rPr>
        <w:t xml:space="preserve"> Czech Republic</w:t>
      </w:r>
    </w:p>
    <w:p w:rsidR="004566B4" w:rsidRPr="004566B4" w:rsidRDefault="004566B4" w:rsidP="004566B4">
      <w:pPr>
        <w:pStyle w:val="Hlavnitext"/>
        <w:spacing w:after="0"/>
        <w:jc w:val="center"/>
        <w:rPr>
          <w:i/>
          <w:lang w:val="en-GB"/>
        </w:rPr>
      </w:pPr>
      <w:r w:rsidRPr="004566B4">
        <w:rPr>
          <w:i/>
          <w:lang w:val="en-GB"/>
        </w:rPr>
        <w:t>Jan.Frait@cnb.cz</w:t>
      </w:r>
    </w:p>
    <w:p w:rsidR="004566B4" w:rsidRDefault="004566B4" w:rsidP="004566B4">
      <w:pPr>
        <w:pStyle w:val="Hlavnitext"/>
        <w:spacing w:after="0"/>
        <w:jc w:val="center"/>
        <w:rPr>
          <w:lang w:val="en-GB"/>
        </w:rPr>
      </w:pPr>
    </w:p>
    <w:p w:rsidR="004566B4" w:rsidRPr="004566B4" w:rsidRDefault="00F625A4" w:rsidP="004566B4">
      <w:pPr>
        <w:pStyle w:val="Hlavnitext"/>
        <w:spacing w:after="0"/>
        <w:jc w:val="center"/>
        <w:rPr>
          <w:b/>
          <w:lang w:val="en-GB"/>
        </w:rPr>
      </w:pPr>
      <w:r w:rsidRPr="004566B4">
        <w:rPr>
          <w:b/>
          <w:lang w:val="en-GB"/>
        </w:rPr>
        <w:t>Jan Hájek</w:t>
      </w:r>
    </w:p>
    <w:p w:rsidR="004566B4" w:rsidRPr="00484CB8" w:rsidRDefault="004566B4" w:rsidP="006F2A47">
      <w:pPr>
        <w:jc w:val="center"/>
        <w:rPr>
          <w:i/>
          <w:lang w:val="en-GB"/>
        </w:rPr>
      </w:pPr>
      <w:r w:rsidRPr="00484CB8">
        <w:rPr>
          <w:i/>
          <w:lang w:val="en-GB"/>
        </w:rPr>
        <w:t>Czech National Bank</w:t>
      </w:r>
      <w:r w:rsidR="006F2A47" w:rsidRPr="00484CB8">
        <w:rPr>
          <w:i/>
          <w:lang w:val="en-GB"/>
        </w:rPr>
        <w:t>,</w:t>
      </w:r>
      <w:r w:rsidRPr="00484CB8">
        <w:rPr>
          <w:i/>
          <w:lang w:val="en-GB"/>
        </w:rPr>
        <w:t xml:space="preserve"> </w:t>
      </w:r>
      <w:r w:rsidR="006F2A47" w:rsidRPr="00484CB8">
        <w:rPr>
          <w:i/>
        </w:rPr>
        <w:t>Charles University</w:t>
      </w:r>
      <w:r w:rsidR="00484CB8" w:rsidRPr="00484CB8">
        <w:rPr>
          <w:i/>
        </w:rPr>
        <w:t xml:space="preserve"> Prague</w:t>
      </w:r>
      <w:r w:rsidRPr="00484CB8">
        <w:rPr>
          <w:i/>
          <w:lang w:val="en-GB"/>
        </w:rPr>
        <w:t>, Czech Republic</w:t>
      </w:r>
    </w:p>
    <w:p w:rsidR="004566B4" w:rsidRPr="00CD0A5B" w:rsidRDefault="004566B4" w:rsidP="004566B4">
      <w:pPr>
        <w:pStyle w:val="Hlavnitext"/>
        <w:spacing w:after="0"/>
        <w:jc w:val="center"/>
        <w:rPr>
          <w:i/>
          <w:lang w:val="en-GB"/>
        </w:rPr>
      </w:pPr>
      <w:r w:rsidRPr="00CD0A5B">
        <w:rPr>
          <w:i/>
          <w:lang w:val="en-GB"/>
        </w:rPr>
        <w:t>Jan.Hajek@cnb.cz</w:t>
      </w:r>
    </w:p>
    <w:p w:rsidR="004566B4" w:rsidRDefault="004566B4" w:rsidP="004566B4">
      <w:pPr>
        <w:pStyle w:val="Hlavnitext"/>
        <w:spacing w:after="0"/>
        <w:jc w:val="center"/>
        <w:rPr>
          <w:lang w:val="en-GB"/>
        </w:rPr>
      </w:pPr>
    </w:p>
    <w:p w:rsidR="00630EC6" w:rsidRDefault="00F625A4" w:rsidP="004566B4">
      <w:pPr>
        <w:pStyle w:val="Hlavnitext"/>
        <w:spacing w:after="0"/>
        <w:jc w:val="center"/>
        <w:rPr>
          <w:lang w:val="en-GB"/>
        </w:rPr>
      </w:pPr>
      <w:r w:rsidRPr="004566B4">
        <w:rPr>
          <w:b/>
          <w:lang w:val="en-GB"/>
        </w:rPr>
        <w:t xml:space="preserve">Miroslav </w:t>
      </w:r>
      <w:proofErr w:type="spellStart"/>
      <w:r w:rsidRPr="004566B4">
        <w:rPr>
          <w:b/>
          <w:lang w:val="en-GB"/>
        </w:rPr>
        <w:t>Plašil</w:t>
      </w:r>
      <w:proofErr w:type="spellEnd"/>
    </w:p>
    <w:p w:rsidR="004566B4" w:rsidRPr="00484CB8" w:rsidRDefault="004566B4" w:rsidP="00484CB8">
      <w:pPr>
        <w:jc w:val="center"/>
        <w:rPr>
          <w:i/>
          <w:lang w:val="en-GB"/>
        </w:rPr>
      </w:pPr>
      <w:r w:rsidRPr="00484CB8">
        <w:rPr>
          <w:i/>
          <w:lang w:val="en-GB"/>
        </w:rPr>
        <w:t>Czech National Bank</w:t>
      </w:r>
      <w:r w:rsidR="00484CB8">
        <w:rPr>
          <w:i/>
          <w:lang w:val="en-GB"/>
        </w:rPr>
        <w:t>,</w:t>
      </w:r>
      <w:r w:rsidRPr="00484CB8">
        <w:rPr>
          <w:i/>
          <w:lang w:val="en-GB"/>
        </w:rPr>
        <w:t xml:space="preserve"> University of Economics Prague, Czech Republic</w:t>
      </w:r>
    </w:p>
    <w:p w:rsidR="004566B4" w:rsidRPr="00CD0A5B" w:rsidRDefault="004566B4" w:rsidP="004566B4">
      <w:pPr>
        <w:pStyle w:val="Hlavnitext"/>
        <w:spacing w:after="0"/>
        <w:jc w:val="center"/>
        <w:rPr>
          <w:i/>
          <w:lang w:val="en-GB"/>
        </w:rPr>
      </w:pPr>
      <w:r w:rsidRPr="00CD0A5B">
        <w:rPr>
          <w:i/>
          <w:lang w:val="en-GB"/>
        </w:rPr>
        <w:t>Miroslav.Plasil@cnb.cz</w:t>
      </w:r>
    </w:p>
    <w:p w:rsidR="004566B4" w:rsidRPr="00CD7EA4" w:rsidRDefault="004566B4" w:rsidP="004566B4">
      <w:pPr>
        <w:pStyle w:val="Hlavnitext"/>
        <w:spacing w:after="0"/>
        <w:jc w:val="center"/>
        <w:rPr>
          <w:lang w:val="en-GB"/>
        </w:rPr>
      </w:pPr>
    </w:p>
    <w:p w:rsidR="00A33412" w:rsidRDefault="00A33412" w:rsidP="00A810B3">
      <w:pPr>
        <w:pStyle w:val="Abstrakt"/>
        <w:rPr>
          <w:lang w:val="en-GB"/>
        </w:rPr>
      </w:pPr>
    </w:p>
    <w:p w:rsidR="001B04A6" w:rsidRPr="004566B4" w:rsidRDefault="001B04A6" w:rsidP="004566B4">
      <w:pPr>
        <w:pStyle w:val="Abstrakt"/>
        <w:spacing w:after="0"/>
        <w:rPr>
          <w:b/>
          <w:caps/>
          <w:lang w:val="en-GB"/>
        </w:rPr>
      </w:pPr>
      <w:r w:rsidRPr="004566B4">
        <w:rPr>
          <w:b/>
          <w:caps/>
          <w:lang w:val="en-GB"/>
        </w:rPr>
        <w:t>Abstract</w:t>
      </w:r>
    </w:p>
    <w:p w:rsidR="00617B2C" w:rsidRDefault="00102B67" w:rsidP="00102B67">
      <w:pPr>
        <w:pStyle w:val="Abstrakt"/>
        <w:rPr>
          <w:lang w:val="en-GB"/>
        </w:rPr>
      </w:pPr>
      <w:r w:rsidRPr="00102B67">
        <w:rPr>
          <w:lang w:val="en-GB"/>
        </w:rPr>
        <w:t xml:space="preserve">Basel III regulatory framework an important </w:t>
      </w:r>
      <w:proofErr w:type="spellStart"/>
      <w:r w:rsidRPr="00102B67">
        <w:rPr>
          <w:lang w:val="en-GB"/>
        </w:rPr>
        <w:t>macroprudential</w:t>
      </w:r>
      <w:proofErr w:type="spellEnd"/>
      <w:r w:rsidRPr="00102B67">
        <w:rPr>
          <w:lang w:val="en-GB"/>
        </w:rPr>
        <w:t xml:space="preserve"> instrument</w:t>
      </w:r>
      <w:r>
        <w:rPr>
          <w:lang w:val="en-GB"/>
        </w:rPr>
        <w:t>:</w:t>
      </w:r>
      <w:r w:rsidRPr="00102B67">
        <w:rPr>
          <w:lang w:val="en-GB"/>
        </w:rPr>
        <w:t xml:space="preserve"> a countercyclical capital buffer. This instrument is </w:t>
      </w:r>
      <w:r>
        <w:rPr>
          <w:lang w:val="en-GB"/>
        </w:rPr>
        <w:t xml:space="preserve">designed to </w:t>
      </w:r>
      <w:r w:rsidR="00B77F21">
        <w:rPr>
          <w:lang w:val="en-GB"/>
        </w:rPr>
        <w:t>reduce the</w:t>
      </w:r>
      <w:r w:rsidRPr="00102B67">
        <w:rPr>
          <w:lang w:val="en-GB"/>
        </w:rPr>
        <w:t xml:space="preserve"> </w:t>
      </w:r>
      <w:r>
        <w:rPr>
          <w:lang w:val="en-GB"/>
        </w:rPr>
        <w:t>consequences</w:t>
      </w:r>
      <w:r w:rsidRPr="00102B67">
        <w:rPr>
          <w:lang w:val="en-GB"/>
        </w:rPr>
        <w:t xml:space="preserve"> </w:t>
      </w:r>
      <w:r>
        <w:rPr>
          <w:lang w:val="en-GB"/>
        </w:rPr>
        <w:t xml:space="preserve">of worsened </w:t>
      </w:r>
      <w:r w:rsidR="00B77F21">
        <w:rPr>
          <w:lang w:val="en-GB"/>
        </w:rPr>
        <w:t xml:space="preserve">access of </w:t>
      </w:r>
      <w:r w:rsidR="00B77F21" w:rsidRPr="00102B67">
        <w:rPr>
          <w:lang w:val="en-GB"/>
        </w:rPr>
        <w:t xml:space="preserve">  </w:t>
      </w:r>
      <w:r w:rsidR="00B77F21">
        <w:rPr>
          <w:lang w:val="en-GB"/>
        </w:rPr>
        <w:t>firms and households to banking credit in bad times.</w:t>
      </w:r>
      <w:r>
        <w:rPr>
          <w:lang w:val="en-GB"/>
        </w:rPr>
        <w:t xml:space="preserve"> </w:t>
      </w:r>
      <w:r w:rsidR="00617B2C" w:rsidRPr="00CD7EA4">
        <w:rPr>
          <w:lang w:val="en-GB"/>
        </w:rPr>
        <w:t xml:space="preserve">This </w:t>
      </w:r>
      <w:r w:rsidR="00B77F21">
        <w:rPr>
          <w:lang w:val="en-GB"/>
        </w:rPr>
        <w:t>paper proposes the</w:t>
      </w:r>
      <w:r w:rsidR="00617B2C" w:rsidRPr="00CD7EA4">
        <w:rPr>
          <w:lang w:val="en-GB"/>
        </w:rPr>
        <w:t xml:space="preserve"> approach to the</w:t>
      </w:r>
      <w:r w:rsidR="00B77F21">
        <w:rPr>
          <w:lang w:val="en-GB"/>
        </w:rPr>
        <w:t xml:space="preserve"> countercyclical capital buff</w:t>
      </w:r>
      <w:r w:rsidR="00B557E0">
        <w:rPr>
          <w:lang w:val="en-GB"/>
        </w:rPr>
        <w:t>er</w:t>
      </w:r>
      <w:r w:rsidR="00B77F21">
        <w:rPr>
          <w:lang w:val="en-GB"/>
        </w:rPr>
        <w:t xml:space="preserve"> using the experience of the</w:t>
      </w:r>
      <w:r w:rsidR="00617B2C" w:rsidRPr="00CD7EA4">
        <w:rPr>
          <w:lang w:val="en-GB"/>
        </w:rPr>
        <w:t xml:space="preserve"> Czech </w:t>
      </w:r>
      <w:r w:rsidR="00B77F21">
        <w:rPr>
          <w:lang w:val="en-GB"/>
        </w:rPr>
        <w:t xml:space="preserve">National Bank. It </w:t>
      </w:r>
      <w:r w:rsidR="00617B2C" w:rsidRPr="00CD7EA4">
        <w:rPr>
          <w:lang w:val="en-GB"/>
        </w:rPr>
        <w:t xml:space="preserve">describes </w:t>
      </w:r>
      <w:r w:rsidR="001F66E5" w:rsidRPr="00CD7EA4">
        <w:rPr>
          <w:lang w:val="en-GB"/>
        </w:rPr>
        <w:t>its</w:t>
      </w:r>
      <w:r w:rsidR="00617B2C" w:rsidRPr="00CD7EA4">
        <w:rPr>
          <w:lang w:val="en-GB"/>
        </w:rPr>
        <w:t xml:space="preserve"> decision-making process</w:t>
      </w:r>
      <w:r w:rsidR="00AE27E5" w:rsidRPr="00CD7EA4">
        <w:rPr>
          <w:lang w:val="en-GB"/>
        </w:rPr>
        <w:t xml:space="preserve"> </w:t>
      </w:r>
      <w:r w:rsidR="00617B2C" w:rsidRPr="00CD7EA4">
        <w:rPr>
          <w:lang w:val="en-GB"/>
        </w:rPr>
        <w:t>from assess</w:t>
      </w:r>
      <w:r w:rsidR="00AE27E5" w:rsidRPr="00CD7EA4">
        <w:rPr>
          <w:lang w:val="en-GB"/>
        </w:rPr>
        <w:t>ing</w:t>
      </w:r>
      <w:r w:rsidR="00617B2C" w:rsidRPr="00CD7EA4">
        <w:rPr>
          <w:lang w:val="en-GB"/>
        </w:rPr>
        <w:t xml:space="preserve"> the position of the economy in the financial cycle through to setting the buffer rate. </w:t>
      </w:r>
      <w:r w:rsidR="00B557E0" w:rsidRPr="00B557E0">
        <w:rPr>
          <w:lang w:val="en-GB"/>
        </w:rPr>
        <w:t>The approach that can be labelled discretion guided by multiple-factor analysis builds upon the signals from both individual and composite indicators of financial cycle and systemic risk.</w:t>
      </w:r>
      <w:r w:rsidR="00B557E0">
        <w:rPr>
          <w:lang w:val="en-GB"/>
        </w:rPr>
        <w:t xml:space="preserve"> </w:t>
      </w:r>
      <w:r w:rsidR="00617B2C" w:rsidRPr="00CD7EA4">
        <w:rPr>
          <w:lang w:val="en-GB"/>
        </w:rPr>
        <w:t xml:space="preserve">The </w:t>
      </w:r>
      <w:r w:rsidR="00B77F21">
        <w:rPr>
          <w:lang w:val="en-GB"/>
        </w:rPr>
        <w:t>paper</w:t>
      </w:r>
      <w:r w:rsidR="00617B2C" w:rsidRPr="00CD7EA4">
        <w:rPr>
          <w:lang w:val="en-GB"/>
        </w:rPr>
        <w:t xml:space="preserve"> </w:t>
      </w:r>
      <w:r w:rsidR="00AE27E5" w:rsidRPr="00CD7EA4">
        <w:rPr>
          <w:lang w:val="en-GB"/>
        </w:rPr>
        <w:t>then</w:t>
      </w:r>
      <w:r w:rsidR="00617B2C" w:rsidRPr="00CD7EA4">
        <w:rPr>
          <w:lang w:val="en-GB"/>
        </w:rPr>
        <w:t xml:space="preserve"> describe</w:t>
      </w:r>
      <w:r w:rsidR="00AE27E5" w:rsidRPr="00CD7EA4">
        <w:rPr>
          <w:lang w:val="en-GB"/>
        </w:rPr>
        <w:t>s</w:t>
      </w:r>
      <w:r w:rsidR="00617B2C" w:rsidRPr="00CD7EA4">
        <w:rPr>
          <w:lang w:val="en-GB"/>
        </w:rPr>
        <w:t xml:space="preserve"> the factors </w:t>
      </w:r>
      <w:r w:rsidR="00564F23" w:rsidRPr="00CD7EA4">
        <w:rPr>
          <w:lang w:val="en-GB"/>
        </w:rPr>
        <w:t xml:space="preserve">that </w:t>
      </w:r>
      <w:r w:rsidR="00617B2C" w:rsidRPr="00CD7EA4">
        <w:rPr>
          <w:lang w:val="en-GB"/>
        </w:rPr>
        <w:t xml:space="preserve">the </w:t>
      </w:r>
      <w:proofErr w:type="spellStart"/>
      <w:r w:rsidR="00617B2C" w:rsidRPr="00CD7EA4">
        <w:rPr>
          <w:lang w:val="en-GB"/>
        </w:rPr>
        <w:t>macroprudential</w:t>
      </w:r>
      <w:proofErr w:type="spellEnd"/>
      <w:r w:rsidR="00617B2C" w:rsidRPr="00CD7EA4">
        <w:rPr>
          <w:lang w:val="en-GB"/>
        </w:rPr>
        <w:t xml:space="preserve"> authority takes into account when setting the specific countercyclical capital buffer rate.</w:t>
      </w:r>
      <w:r w:rsidR="00E72FEA" w:rsidRPr="00CD7EA4">
        <w:rPr>
          <w:lang w:val="en-GB"/>
        </w:rPr>
        <w:t xml:space="preserve"> </w:t>
      </w:r>
    </w:p>
    <w:p w:rsidR="0020132C" w:rsidRPr="00B557E0" w:rsidRDefault="0020132C" w:rsidP="0020132C">
      <w:pPr>
        <w:rPr>
          <w:i/>
          <w:color w:val="000000" w:themeColor="text1"/>
          <w:lang w:val="en-GB"/>
        </w:rPr>
      </w:pPr>
      <w:r w:rsidRPr="00B557E0">
        <w:rPr>
          <w:b/>
          <w:i/>
          <w:color w:val="000000" w:themeColor="text1"/>
          <w:lang w:val="en-GB"/>
        </w:rPr>
        <w:t xml:space="preserve">Keywords: </w:t>
      </w:r>
      <w:r w:rsidR="004566B4" w:rsidRPr="00B557E0">
        <w:rPr>
          <w:i/>
          <w:color w:val="000000" w:themeColor="text1"/>
          <w:lang w:val="en-GB"/>
        </w:rPr>
        <w:t>c</w:t>
      </w:r>
      <w:r w:rsidRPr="00B557E0">
        <w:rPr>
          <w:i/>
          <w:color w:val="000000" w:themeColor="text1"/>
          <w:lang w:val="en-GB"/>
        </w:rPr>
        <w:t xml:space="preserve">ountercyclical capital buffer, </w:t>
      </w:r>
      <w:r w:rsidR="004566B4" w:rsidRPr="00B557E0">
        <w:rPr>
          <w:i/>
          <w:color w:val="000000" w:themeColor="text1"/>
          <w:lang w:val="en-GB"/>
        </w:rPr>
        <w:t>c</w:t>
      </w:r>
      <w:r w:rsidRPr="00B557E0">
        <w:rPr>
          <w:i/>
          <w:color w:val="000000" w:themeColor="text1"/>
          <w:lang w:val="en-GB"/>
        </w:rPr>
        <w:t xml:space="preserve">redit-to-GDP gap, credit losses, financial cycle </w:t>
      </w:r>
    </w:p>
    <w:p w:rsidR="0020132C" w:rsidRPr="00CD7EA4" w:rsidRDefault="0020132C" w:rsidP="00861604">
      <w:pPr>
        <w:pStyle w:val="Abstrakt"/>
        <w:spacing w:after="0"/>
        <w:rPr>
          <w:lang w:val="en-GB"/>
        </w:rPr>
      </w:pPr>
    </w:p>
    <w:bookmarkEnd w:id="1"/>
    <w:bookmarkEnd w:id="2"/>
    <w:bookmarkEnd w:id="3"/>
    <w:p w:rsidR="00630EC6" w:rsidRPr="00CD7EA4" w:rsidRDefault="00333D6E" w:rsidP="004566B4">
      <w:pPr>
        <w:pStyle w:val="NADPIS10"/>
        <w:spacing w:after="0"/>
        <w:rPr>
          <w:lang w:val="en-GB"/>
        </w:rPr>
      </w:pPr>
      <w:r>
        <w:rPr>
          <w:lang w:val="en-GB"/>
        </w:rPr>
        <w:t xml:space="preserve">1 </w:t>
      </w:r>
      <w:r w:rsidR="000434D2" w:rsidRPr="00CD7EA4">
        <w:rPr>
          <w:lang w:val="en-GB"/>
        </w:rPr>
        <w:t>Introduction</w:t>
      </w:r>
    </w:p>
    <w:p w:rsidR="000434D2" w:rsidRPr="00CD7EA4" w:rsidRDefault="000434D2" w:rsidP="004566B4">
      <w:pPr>
        <w:pStyle w:val="Hlavnitext"/>
        <w:spacing w:after="0"/>
        <w:rPr>
          <w:lang w:val="en-GB"/>
        </w:rPr>
      </w:pPr>
      <w:r w:rsidRPr="00CD7EA4">
        <w:rPr>
          <w:lang w:val="en-GB"/>
        </w:rPr>
        <w:t xml:space="preserve">The countercyclical capital buffer </w:t>
      </w:r>
      <w:r w:rsidR="00C80D02" w:rsidRPr="00CD7EA4">
        <w:rPr>
          <w:lang w:val="en-GB"/>
        </w:rPr>
        <w:t>(</w:t>
      </w:r>
      <w:proofErr w:type="spellStart"/>
      <w:r w:rsidR="00C80D02" w:rsidRPr="00CD7EA4">
        <w:rPr>
          <w:lang w:val="en-GB"/>
        </w:rPr>
        <w:t>CCyB</w:t>
      </w:r>
      <w:proofErr w:type="spellEnd"/>
      <w:r w:rsidR="00C80D02" w:rsidRPr="00CD7EA4">
        <w:rPr>
          <w:lang w:val="en-GB"/>
        </w:rPr>
        <w:t>)</w:t>
      </w:r>
      <w:r w:rsidRPr="00CD7EA4">
        <w:rPr>
          <w:lang w:val="en-GB"/>
        </w:rPr>
        <w:t xml:space="preserve"> is a</w:t>
      </w:r>
      <w:r w:rsidR="00D61831">
        <w:rPr>
          <w:lang w:val="en-GB"/>
        </w:rPr>
        <w:t xml:space="preserve"> pure</w:t>
      </w:r>
      <w:r w:rsidRPr="00CD7EA4">
        <w:rPr>
          <w:lang w:val="en-GB"/>
        </w:rPr>
        <w:t xml:space="preserve"> </w:t>
      </w:r>
      <w:proofErr w:type="spellStart"/>
      <w:r w:rsidRPr="00CD7EA4">
        <w:rPr>
          <w:lang w:val="en-GB"/>
        </w:rPr>
        <w:t>macroprudential</w:t>
      </w:r>
      <w:proofErr w:type="spellEnd"/>
      <w:r w:rsidRPr="00CD7EA4">
        <w:rPr>
          <w:lang w:val="en-GB"/>
        </w:rPr>
        <w:t xml:space="preserve"> policy</w:t>
      </w:r>
      <w:r w:rsidR="00E30C73" w:rsidRPr="00CD7EA4">
        <w:rPr>
          <w:lang w:val="en-GB"/>
        </w:rPr>
        <w:t xml:space="preserve"> tool</w:t>
      </w:r>
      <w:r w:rsidRPr="00CD7EA4">
        <w:rPr>
          <w:lang w:val="en-GB"/>
        </w:rPr>
        <w:t xml:space="preserve">. </w:t>
      </w:r>
      <w:r w:rsidR="00E30C73" w:rsidRPr="00CD7EA4">
        <w:rPr>
          <w:lang w:val="en-GB"/>
        </w:rPr>
        <w:t>It</w:t>
      </w:r>
      <w:r w:rsidRPr="00CD7EA4">
        <w:rPr>
          <w:lang w:val="en-GB"/>
        </w:rPr>
        <w:t xml:space="preserve"> is </w:t>
      </w:r>
      <w:r w:rsidR="003361FD">
        <w:rPr>
          <w:lang w:val="en-GB"/>
        </w:rPr>
        <w:t>designed</w:t>
      </w:r>
      <w:r w:rsidR="003361FD" w:rsidRPr="00CD7EA4">
        <w:rPr>
          <w:lang w:val="en-GB"/>
        </w:rPr>
        <w:t xml:space="preserve"> </w:t>
      </w:r>
      <w:r w:rsidRPr="00CD7EA4">
        <w:rPr>
          <w:lang w:val="en-GB"/>
        </w:rPr>
        <w:t xml:space="preserve">to protect the banking sector against risks arising from its behaviour </w:t>
      </w:r>
      <w:r w:rsidR="00CD7EA4">
        <w:rPr>
          <w:lang w:val="en-GB"/>
        </w:rPr>
        <w:t>through</w:t>
      </w:r>
      <w:r w:rsidRPr="00CD7EA4">
        <w:rPr>
          <w:lang w:val="en-GB"/>
        </w:rPr>
        <w:t xml:space="preserve"> the financial cycle,</w:t>
      </w:r>
      <w:r w:rsidR="00E30C73" w:rsidRPr="00CD7EA4">
        <w:rPr>
          <w:lang w:val="en-GB"/>
        </w:rPr>
        <w:t xml:space="preserve"> and</w:t>
      </w:r>
      <w:r w:rsidRPr="00CD7EA4">
        <w:rPr>
          <w:lang w:val="en-GB"/>
        </w:rPr>
        <w:t xml:space="preserve"> in particular </w:t>
      </w:r>
      <w:r w:rsidR="00E30C73" w:rsidRPr="00CD7EA4">
        <w:rPr>
          <w:lang w:val="en-GB"/>
        </w:rPr>
        <w:t xml:space="preserve">from </w:t>
      </w:r>
      <w:r w:rsidRPr="00CD7EA4">
        <w:rPr>
          <w:lang w:val="en-GB"/>
        </w:rPr>
        <w:t xml:space="preserve">excessive credit growth, which generates systemic risks and increases the potential for sharp swings in economic activity. </w:t>
      </w:r>
      <w:r w:rsidR="00D61831">
        <w:rPr>
          <w:lang w:val="en-GB"/>
        </w:rPr>
        <w:t>A</w:t>
      </w:r>
      <w:r w:rsidRPr="00CD7EA4">
        <w:rPr>
          <w:lang w:val="en-GB"/>
        </w:rPr>
        <w:t xml:space="preserve"> </w:t>
      </w:r>
      <w:proofErr w:type="spellStart"/>
      <w:r w:rsidRPr="00CD7EA4">
        <w:rPr>
          <w:lang w:val="en-GB"/>
        </w:rPr>
        <w:t>macroprudential</w:t>
      </w:r>
      <w:proofErr w:type="spellEnd"/>
      <w:r w:rsidRPr="00CD7EA4">
        <w:rPr>
          <w:lang w:val="en-GB"/>
        </w:rPr>
        <w:t xml:space="preserve"> policy</w:t>
      </w:r>
      <w:r w:rsidR="00671F2B" w:rsidRPr="00CD7EA4">
        <w:rPr>
          <w:lang w:val="en-GB"/>
        </w:rPr>
        <w:t xml:space="preserve"> authority</w:t>
      </w:r>
      <w:r w:rsidR="00D61831">
        <w:rPr>
          <w:lang w:val="en-GB"/>
        </w:rPr>
        <w:t xml:space="preserve"> </w:t>
      </w:r>
      <w:r w:rsidR="0007541B" w:rsidRPr="00CD7EA4">
        <w:rPr>
          <w:lang w:val="en-GB"/>
        </w:rPr>
        <w:t xml:space="preserve">should ensure that banks create a capital buffer during the </w:t>
      </w:r>
      <w:r w:rsidR="00D61831">
        <w:rPr>
          <w:lang w:val="en-GB"/>
        </w:rPr>
        <w:t xml:space="preserve">financial </w:t>
      </w:r>
      <w:r w:rsidR="0007541B" w:rsidRPr="00CD7EA4">
        <w:rPr>
          <w:lang w:val="en-GB"/>
        </w:rPr>
        <w:t>expansion to enable them to absorb losses in the event of an adverse shock accompanied by</w:t>
      </w:r>
      <w:r w:rsidR="0094425B" w:rsidRPr="00CD7EA4">
        <w:rPr>
          <w:lang w:val="en-GB"/>
        </w:rPr>
        <w:t xml:space="preserve"> elevated </w:t>
      </w:r>
      <w:r w:rsidR="0007541B" w:rsidRPr="00CD7EA4">
        <w:rPr>
          <w:lang w:val="en-GB"/>
        </w:rPr>
        <w:t>financial stress and growth in loan defaults.</w:t>
      </w:r>
      <w:r w:rsidR="00757169" w:rsidRPr="00CD7EA4">
        <w:rPr>
          <w:lang w:val="en-GB"/>
        </w:rPr>
        <w:t xml:space="preserve"> Use of the buffer at such a time should prevent </w:t>
      </w:r>
      <w:r w:rsidR="00E30C73" w:rsidRPr="00CD7EA4">
        <w:rPr>
          <w:lang w:val="en-GB"/>
        </w:rPr>
        <w:t>a</w:t>
      </w:r>
      <w:r w:rsidR="00CD7EA4">
        <w:rPr>
          <w:lang w:val="en-GB"/>
        </w:rPr>
        <w:t xml:space="preserve"> </w:t>
      </w:r>
      <w:r w:rsidR="00E30C73" w:rsidRPr="00CD7EA4">
        <w:rPr>
          <w:lang w:val="en-GB"/>
        </w:rPr>
        <w:t xml:space="preserve">fall in the supply of </w:t>
      </w:r>
      <w:r w:rsidR="00757169" w:rsidRPr="00CD7EA4">
        <w:rPr>
          <w:lang w:val="en-GB"/>
        </w:rPr>
        <w:t xml:space="preserve">credit to the </w:t>
      </w:r>
      <w:r w:rsidR="00E30C73" w:rsidRPr="00CD7EA4">
        <w:rPr>
          <w:lang w:val="en-GB"/>
        </w:rPr>
        <w:t>sound</w:t>
      </w:r>
      <w:r w:rsidR="00757169" w:rsidRPr="00CD7EA4">
        <w:rPr>
          <w:lang w:val="en-GB"/>
        </w:rPr>
        <w:t xml:space="preserve"> part of the economy and stop the shock spreading from the financial sector to the real economy and causing the banking sector further losses.</w:t>
      </w:r>
    </w:p>
    <w:p w:rsidR="00050727" w:rsidRDefault="00757169" w:rsidP="00861604">
      <w:pPr>
        <w:pStyle w:val="Hlavnitext"/>
        <w:spacing w:after="0"/>
        <w:rPr>
          <w:lang w:val="en-GB"/>
        </w:rPr>
      </w:pPr>
      <w:r w:rsidRPr="00CD7EA4">
        <w:rPr>
          <w:lang w:val="en-GB"/>
        </w:rPr>
        <w:t xml:space="preserve">At first glance, the </w:t>
      </w:r>
      <w:proofErr w:type="spellStart"/>
      <w:r w:rsidR="004B0FC6" w:rsidRPr="00CD7EA4">
        <w:rPr>
          <w:lang w:val="en-GB"/>
        </w:rPr>
        <w:t>CCyB</w:t>
      </w:r>
      <w:proofErr w:type="spellEnd"/>
      <w:r w:rsidR="004B0FC6" w:rsidRPr="00CD7EA4">
        <w:rPr>
          <w:lang w:val="en-GB"/>
        </w:rPr>
        <w:t xml:space="preserve"> </w:t>
      </w:r>
      <w:r w:rsidR="00CA2903" w:rsidRPr="00CD7EA4">
        <w:rPr>
          <w:lang w:val="en-GB"/>
        </w:rPr>
        <w:t>is a very simple tool</w:t>
      </w:r>
      <w:r w:rsidR="00B34789" w:rsidRPr="00CD7EA4">
        <w:rPr>
          <w:lang w:val="en-GB"/>
        </w:rPr>
        <w:t>.</w:t>
      </w:r>
      <w:r w:rsidR="00CA2903" w:rsidRPr="00CD7EA4">
        <w:rPr>
          <w:lang w:val="en-GB"/>
        </w:rPr>
        <w:t xml:space="preserve"> </w:t>
      </w:r>
      <w:r w:rsidR="00B34789" w:rsidRPr="00CD7EA4">
        <w:rPr>
          <w:lang w:val="en-GB"/>
        </w:rPr>
        <w:t>I</w:t>
      </w:r>
      <w:r w:rsidR="00CA2903" w:rsidRPr="00CD7EA4">
        <w:rPr>
          <w:lang w:val="en-GB"/>
        </w:rPr>
        <w:t>n reality</w:t>
      </w:r>
      <w:r w:rsidR="00B34789" w:rsidRPr="00CD7EA4">
        <w:rPr>
          <w:lang w:val="en-GB"/>
        </w:rPr>
        <w:t>, though,</w:t>
      </w:r>
      <w:r w:rsidR="00CA2903" w:rsidRPr="00CD7EA4">
        <w:rPr>
          <w:lang w:val="en-GB"/>
        </w:rPr>
        <w:t xml:space="preserve"> setting the </w:t>
      </w:r>
      <w:proofErr w:type="spellStart"/>
      <w:r w:rsidR="00CA2903" w:rsidRPr="00CD7EA4">
        <w:rPr>
          <w:lang w:val="en-GB"/>
        </w:rPr>
        <w:t>CCyB</w:t>
      </w:r>
      <w:proofErr w:type="spellEnd"/>
      <w:r w:rsidR="00CA2903" w:rsidRPr="00CD7EA4">
        <w:rPr>
          <w:lang w:val="en-GB"/>
        </w:rPr>
        <w:t xml:space="preserve"> rate is a </w:t>
      </w:r>
      <w:r w:rsidR="00B34789" w:rsidRPr="00CD7EA4">
        <w:rPr>
          <w:lang w:val="en-GB"/>
        </w:rPr>
        <w:t>complex</w:t>
      </w:r>
      <w:r w:rsidR="00CA2903" w:rsidRPr="00CD7EA4">
        <w:rPr>
          <w:lang w:val="en-GB"/>
        </w:rPr>
        <w:t xml:space="preserve"> </w:t>
      </w:r>
      <w:r w:rsidR="00B34789" w:rsidRPr="00CD7EA4">
        <w:rPr>
          <w:lang w:val="en-GB"/>
        </w:rPr>
        <w:t xml:space="preserve">task in terms of </w:t>
      </w:r>
      <w:r w:rsidR="00CD7EA4">
        <w:rPr>
          <w:lang w:val="en-GB"/>
        </w:rPr>
        <w:t xml:space="preserve">both </w:t>
      </w:r>
      <w:r w:rsidR="00CA2903" w:rsidRPr="00CD7EA4">
        <w:rPr>
          <w:lang w:val="en-GB"/>
        </w:rPr>
        <w:t xml:space="preserve">decision-making and communication. It can be particularly difficult to justify the specific level </w:t>
      </w:r>
      <w:r w:rsidR="00B34789" w:rsidRPr="00CD7EA4">
        <w:rPr>
          <w:lang w:val="en-GB"/>
        </w:rPr>
        <w:t>at which</w:t>
      </w:r>
      <w:r w:rsidR="00CA2903" w:rsidRPr="00CD7EA4">
        <w:rPr>
          <w:lang w:val="en-GB"/>
        </w:rPr>
        <w:t xml:space="preserve"> </w:t>
      </w:r>
      <w:r w:rsidR="00B34789" w:rsidRPr="00CD7EA4">
        <w:rPr>
          <w:lang w:val="en-GB"/>
        </w:rPr>
        <w:t>it is set</w:t>
      </w:r>
      <w:r w:rsidR="00CA2903" w:rsidRPr="00CD7EA4">
        <w:rPr>
          <w:lang w:val="en-GB"/>
        </w:rPr>
        <w:t xml:space="preserve">. This </w:t>
      </w:r>
      <w:r w:rsidR="00B77F21">
        <w:rPr>
          <w:lang w:val="en-GB"/>
        </w:rPr>
        <w:t>paper</w:t>
      </w:r>
      <w:r w:rsidR="00CA2903" w:rsidRPr="00CD7EA4">
        <w:rPr>
          <w:lang w:val="en-GB"/>
        </w:rPr>
        <w:t xml:space="preserve"> aims to present key aspects of the</w:t>
      </w:r>
      <w:r w:rsidR="00050727" w:rsidRPr="00CD7EA4">
        <w:rPr>
          <w:lang w:val="en-GB"/>
        </w:rPr>
        <w:t xml:space="preserve"> CNB’s approach to setting the </w:t>
      </w:r>
      <w:proofErr w:type="spellStart"/>
      <w:r w:rsidR="00050727" w:rsidRPr="00CD7EA4">
        <w:rPr>
          <w:lang w:val="en-GB"/>
        </w:rPr>
        <w:t>CCyB</w:t>
      </w:r>
      <w:proofErr w:type="spellEnd"/>
      <w:r w:rsidR="00050727" w:rsidRPr="00CD7EA4">
        <w:rPr>
          <w:lang w:val="en-GB"/>
        </w:rPr>
        <w:t xml:space="preserve"> rate, contribute to better formation of </w:t>
      </w:r>
      <w:r w:rsidR="00050727" w:rsidRPr="00CD7EA4">
        <w:rPr>
          <w:lang w:val="en-GB"/>
        </w:rPr>
        <w:lastRenderedPageBreak/>
        <w:t xml:space="preserve">expectations </w:t>
      </w:r>
      <w:r w:rsidR="00B34789" w:rsidRPr="00CD7EA4">
        <w:rPr>
          <w:lang w:val="en-GB"/>
        </w:rPr>
        <w:t>about</w:t>
      </w:r>
      <w:r w:rsidR="00050727" w:rsidRPr="00CD7EA4">
        <w:rPr>
          <w:lang w:val="en-GB"/>
        </w:rPr>
        <w:t xml:space="preserve"> the future path of </w:t>
      </w:r>
      <w:r w:rsidR="00B34789" w:rsidRPr="00CD7EA4">
        <w:rPr>
          <w:lang w:val="en-GB"/>
        </w:rPr>
        <w:t>the</w:t>
      </w:r>
      <w:r w:rsidR="00050727" w:rsidRPr="00CD7EA4">
        <w:rPr>
          <w:lang w:val="en-GB"/>
        </w:rPr>
        <w:t xml:space="preserve"> rate and thereby facilitate capital planning for credit institutions. The </w:t>
      </w:r>
      <w:r w:rsidR="00B77F21">
        <w:rPr>
          <w:lang w:val="en-GB"/>
        </w:rPr>
        <w:t>paper</w:t>
      </w:r>
      <w:r w:rsidR="00050727" w:rsidRPr="00CD7EA4">
        <w:rPr>
          <w:lang w:val="en-GB"/>
        </w:rPr>
        <w:t xml:space="preserve"> is structured as follows. Section 2 summarises the </w:t>
      </w:r>
      <w:r w:rsidR="00B34789" w:rsidRPr="00CD7EA4">
        <w:rPr>
          <w:lang w:val="en-GB"/>
        </w:rPr>
        <w:t>essence</w:t>
      </w:r>
      <w:r w:rsidR="00050727" w:rsidRPr="00CD7EA4">
        <w:rPr>
          <w:lang w:val="en-GB"/>
        </w:rPr>
        <w:t xml:space="preserve"> </w:t>
      </w:r>
      <w:r w:rsidR="00B34789" w:rsidRPr="00CD7EA4">
        <w:rPr>
          <w:lang w:val="en-GB"/>
        </w:rPr>
        <w:t xml:space="preserve">and purpose </w:t>
      </w:r>
      <w:r w:rsidR="00050727" w:rsidRPr="00CD7EA4">
        <w:rPr>
          <w:lang w:val="en-GB"/>
        </w:rPr>
        <w:t xml:space="preserve">of the </w:t>
      </w:r>
      <w:proofErr w:type="spellStart"/>
      <w:r w:rsidR="00050727" w:rsidRPr="00CD7EA4">
        <w:rPr>
          <w:lang w:val="en-GB"/>
        </w:rPr>
        <w:t>CCyB</w:t>
      </w:r>
      <w:proofErr w:type="spellEnd"/>
      <w:r w:rsidR="00050727" w:rsidRPr="00CD7EA4">
        <w:rPr>
          <w:lang w:val="en-GB"/>
        </w:rPr>
        <w:t xml:space="preserve">, describes the BCBS/ESRB methodology and points out </w:t>
      </w:r>
      <w:r w:rsidR="00B34789" w:rsidRPr="00CD7EA4">
        <w:rPr>
          <w:lang w:val="en-GB"/>
        </w:rPr>
        <w:t xml:space="preserve">some </w:t>
      </w:r>
      <w:r w:rsidR="00955E7E" w:rsidRPr="00CD7EA4">
        <w:rPr>
          <w:lang w:val="en-GB"/>
        </w:rPr>
        <w:t>issues with</w:t>
      </w:r>
      <w:r w:rsidR="00050727" w:rsidRPr="00CD7EA4">
        <w:rPr>
          <w:lang w:val="en-GB"/>
        </w:rPr>
        <w:t xml:space="preserve"> </w:t>
      </w:r>
      <w:r w:rsidR="00C62781">
        <w:rPr>
          <w:lang w:val="en-GB"/>
        </w:rPr>
        <w:t>its application</w:t>
      </w:r>
      <w:r w:rsidR="00050727" w:rsidRPr="00CD7EA4">
        <w:rPr>
          <w:lang w:val="en-GB"/>
        </w:rPr>
        <w:t xml:space="preserve"> to the Czech economy. Section 3</w:t>
      </w:r>
      <w:r w:rsidR="00E879B2" w:rsidRPr="00CD7EA4">
        <w:rPr>
          <w:lang w:val="en-GB"/>
        </w:rPr>
        <w:t xml:space="preserve"> introduces </w:t>
      </w:r>
      <w:r w:rsidR="00050727" w:rsidRPr="00CD7EA4">
        <w:rPr>
          <w:lang w:val="en-GB"/>
        </w:rPr>
        <w:t xml:space="preserve">the main indicators used to determine the position of the economy in the financial cycle. Section 4 </w:t>
      </w:r>
      <w:r w:rsidR="00B34789" w:rsidRPr="00CD7EA4">
        <w:rPr>
          <w:lang w:val="en-GB"/>
        </w:rPr>
        <w:t>details</w:t>
      </w:r>
      <w:r w:rsidR="00050727" w:rsidRPr="00CD7EA4">
        <w:rPr>
          <w:lang w:val="en-GB"/>
        </w:rPr>
        <w:t xml:space="preserve"> the CNB</w:t>
      </w:r>
      <w:r w:rsidR="00B34789" w:rsidRPr="00CD7EA4">
        <w:rPr>
          <w:lang w:val="en-GB"/>
        </w:rPr>
        <w:t>’s</w:t>
      </w:r>
      <w:r w:rsidR="00050727" w:rsidRPr="00CD7EA4">
        <w:rPr>
          <w:lang w:val="en-GB"/>
        </w:rPr>
        <w:t xml:space="preserve"> approach to setting the buffer rate and discusses </w:t>
      </w:r>
      <w:r w:rsidR="00CD7EA4">
        <w:rPr>
          <w:lang w:val="en-GB"/>
        </w:rPr>
        <w:t>its</w:t>
      </w:r>
      <w:r w:rsidR="00050727" w:rsidRPr="00CD7EA4">
        <w:rPr>
          <w:lang w:val="en-GB"/>
        </w:rPr>
        <w:t xml:space="preserve"> decision-making process</w:t>
      </w:r>
      <w:r w:rsidR="00587EAD" w:rsidRPr="00CD7EA4">
        <w:rPr>
          <w:lang w:val="en-GB"/>
        </w:rPr>
        <w:t xml:space="preserve">, which draws on stress test </w:t>
      </w:r>
      <w:r w:rsidR="00955E7E" w:rsidRPr="00CD7EA4">
        <w:rPr>
          <w:lang w:val="en-GB"/>
        </w:rPr>
        <w:t xml:space="preserve">results </w:t>
      </w:r>
      <w:r w:rsidR="00587EAD" w:rsidRPr="00CD7EA4">
        <w:rPr>
          <w:lang w:val="en-GB"/>
        </w:rPr>
        <w:t xml:space="preserve">and known facts about the morphology of the financial cycle. The section </w:t>
      </w:r>
      <w:r w:rsidR="00B77F21">
        <w:rPr>
          <w:lang w:val="en-GB"/>
        </w:rPr>
        <w:t xml:space="preserve">5 </w:t>
      </w:r>
      <w:r w:rsidR="00587EAD" w:rsidRPr="00CD7EA4">
        <w:rPr>
          <w:lang w:val="en-GB"/>
        </w:rPr>
        <w:t>concludes.</w:t>
      </w:r>
    </w:p>
    <w:p w:rsidR="00861604" w:rsidRPr="00CD7EA4" w:rsidRDefault="00861604" w:rsidP="00861604">
      <w:pPr>
        <w:pStyle w:val="Hlavnitext"/>
        <w:spacing w:after="0"/>
        <w:rPr>
          <w:lang w:val="en-GB"/>
        </w:rPr>
      </w:pPr>
    </w:p>
    <w:p w:rsidR="00587EAD" w:rsidRPr="00CD7EA4" w:rsidRDefault="00333D6E" w:rsidP="00E63E2A">
      <w:pPr>
        <w:pStyle w:val="NADPIS10"/>
        <w:spacing w:after="0"/>
        <w:rPr>
          <w:lang w:val="en-GB"/>
        </w:rPr>
      </w:pPr>
      <w:r>
        <w:rPr>
          <w:lang w:val="en-GB"/>
        </w:rPr>
        <w:t xml:space="preserve">2 </w:t>
      </w:r>
      <w:r w:rsidR="00587EAD" w:rsidRPr="00CD7EA4">
        <w:rPr>
          <w:lang w:val="en-GB"/>
        </w:rPr>
        <w:t xml:space="preserve">The countercyclical capital buffer </w:t>
      </w:r>
      <w:r>
        <w:rPr>
          <w:lang w:val="en-GB"/>
        </w:rPr>
        <w:t xml:space="preserve">Essence </w:t>
      </w:r>
      <w:r w:rsidR="00587EAD" w:rsidRPr="00CD7EA4">
        <w:rPr>
          <w:lang w:val="en-GB"/>
        </w:rPr>
        <w:t>and the BCBS/ESRB methodology</w:t>
      </w:r>
    </w:p>
    <w:p w:rsidR="00240103" w:rsidRPr="00CD7EA4" w:rsidRDefault="00240103" w:rsidP="00E63E2A">
      <w:pPr>
        <w:pStyle w:val="NADPIS30"/>
        <w:spacing w:before="0" w:after="0"/>
        <w:rPr>
          <w:b w:val="0"/>
          <w:lang w:val="en-GB"/>
        </w:rPr>
      </w:pPr>
      <w:r w:rsidRPr="00CD7EA4">
        <w:rPr>
          <w:b w:val="0"/>
          <w:lang w:val="en-GB"/>
        </w:rPr>
        <w:t xml:space="preserve">The recent financial crisis </w:t>
      </w:r>
      <w:r w:rsidR="003361FD">
        <w:rPr>
          <w:b w:val="0"/>
          <w:lang w:val="en-GB"/>
        </w:rPr>
        <w:t>revealed</w:t>
      </w:r>
      <w:r w:rsidR="003361FD" w:rsidRPr="00CD7EA4">
        <w:rPr>
          <w:b w:val="0"/>
          <w:lang w:val="en-GB"/>
        </w:rPr>
        <w:t xml:space="preserve"> </w:t>
      </w:r>
      <w:r w:rsidRPr="00CD7EA4">
        <w:rPr>
          <w:b w:val="0"/>
          <w:lang w:val="en-GB"/>
        </w:rPr>
        <w:t xml:space="preserve">that stress in the financial sector can easily spread to other sectors of the economy. </w:t>
      </w:r>
      <w:r w:rsidR="009C093E" w:rsidRPr="00CD7EA4">
        <w:rPr>
          <w:b w:val="0"/>
          <w:lang w:val="en-GB"/>
        </w:rPr>
        <w:t>Faced with capital shortages due to losses</w:t>
      </w:r>
      <w:r w:rsidRPr="00CD7EA4">
        <w:rPr>
          <w:b w:val="0"/>
          <w:lang w:val="en-GB"/>
        </w:rPr>
        <w:t xml:space="preserve">, banks </w:t>
      </w:r>
      <w:r w:rsidR="009C093E" w:rsidRPr="00CD7EA4">
        <w:rPr>
          <w:b w:val="0"/>
          <w:lang w:val="en-GB"/>
        </w:rPr>
        <w:t xml:space="preserve">in some countries </w:t>
      </w:r>
      <w:r w:rsidRPr="00CD7EA4">
        <w:rPr>
          <w:b w:val="0"/>
          <w:lang w:val="en-GB"/>
        </w:rPr>
        <w:t xml:space="preserve">severely </w:t>
      </w:r>
      <w:r w:rsidR="00AE27E5" w:rsidRPr="00CD7EA4">
        <w:rPr>
          <w:b w:val="0"/>
          <w:lang w:val="en-GB"/>
        </w:rPr>
        <w:t>curtailed</w:t>
      </w:r>
      <w:r w:rsidRPr="00CD7EA4">
        <w:rPr>
          <w:b w:val="0"/>
          <w:lang w:val="en-GB"/>
        </w:rPr>
        <w:t xml:space="preserve"> the supply of credit even to sound non-financial corporations (a situation generally r</w:t>
      </w:r>
      <w:r w:rsidR="00B77F21">
        <w:rPr>
          <w:b w:val="0"/>
          <w:lang w:val="en-GB"/>
        </w:rPr>
        <w:t>eferred to as a “credit crunch”</w:t>
      </w:r>
      <w:r w:rsidRPr="00CD7EA4">
        <w:rPr>
          <w:b w:val="0"/>
          <w:lang w:val="en-GB"/>
        </w:rPr>
        <w:t xml:space="preserve">). In </w:t>
      </w:r>
      <w:r w:rsidR="00AE27E5" w:rsidRPr="00CD7EA4">
        <w:rPr>
          <w:b w:val="0"/>
          <w:lang w:val="en-GB"/>
        </w:rPr>
        <w:t>response</w:t>
      </w:r>
      <w:r w:rsidRPr="00CD7EA4">
        <w:rPr>
          <w:b w:val="0"/>
          <w:lang w:val="en-GB"/>
        </w:rPr>
        <w:t xml:space="preserve"> to the</w:t>
      </w:r>
      <w:r w:rsidR="00CD7EA4">
        <w:rPr>
          <w:b w:val="0"/>
          <w:lang w:val="en-GB"/>
        </w:rPr>
        <w:t>se</w:t>
      </w:r>
      <w:r w:rsidRPr="00CD7EA4">
        <w:rPr>
          <w:b w:val="0"/>
          <w:lang w:val="en-GB"/>
        </w:rPr>
        <w:t xml:space="preserve"> funding constraints, some firms had to </w:t>
      </w:r>
      <w:r w:rsidR="00A24D03" w:rsidRPr="00CD7EA4">
        <w:rPr>
          <w:b w:val="0"/>
          <w:lang w:val="en-GB"/>
        </w:rPr>
        <w:t>cut</w:t>
      </w:r>
      <w:r w:rsidRPr="00CD7EA4">
        <w:rPr>
          <w:b w:val="0"/>
          <w:lang w:val="en-GB"/>
        </w:rPr>
        <w:t xml:space="preserve"> their </w:t>
      </w:r>
      <w:r w:rsidR="003361FD">
        <w:rPr>
          <w:b w:val="0"/>
          <w:lang w:val="en-GB"/>
        </w:rPr>
        <w:t>production</w:t>
      </w:r>
      <w:r w:rsidR="003361FD" w:rsidRPr="00CD7EA4">
        <w:rPr>
          <w:b w:val="0"/>
          <w:lang w:val="en-GB"/>
        </w:rPr>
        <w:t xml:space="preserve"> </w:t>
      </w:r>
      <w:r w:rsidR="00A24D03" w:rsidRPr="00CD7EA4">
        <w:rPr>
          <w:b w:val="0"/>
          <w:lang w:val="en-GB"/>
        </w:rPr>
        <w:t>substantially</w:t>
      </w:r>
      <w:r w:rsidRPr="00CD7EA4">
        <w:rPr>
          <w:b w:val="0"/>
          <w:lang w:val="en-GB"/>
        </w:rPr>
        <w:t xml:space="preserve">. This led to </w:t>
      </w:r>
      <w:r w:rsidR="00A24D03" w:rsidRPr="00CD7EA4">
        <w:rPr>
          <w:b w:val="0"/>
          <w:lang w:val="en-GB"/>
        </w:rPr>
        <w:t>rising</w:t>
      </w:r>
      <w:r w:rsidRPr="00CD7EA4">
        <w:rPr>
          <w:b w:val="0"/>
          <w:lang w:val="en-GB"/>
        </w:rPr>
        <w:t xml:space="preserve"> unemployment, </w:t>
      </w:r>
      <w:r w:rsidR="009C093E" w:rsidRPr="00CD7EA4">
        <w:rPr>
          <w:b w:val="0"/>
          <w:lang w:val="en-GB"/>
        </w:rPr>
        <w:t>falling</w:t>
      </w:r>
      <w:r w:rsidRPr="00CD7EA4">
        <w:rPr>
          <w:b w:val="0"/>
          <w:lang w:val="en-GB"/>
        </w:rPr>
        <w:t xml:space="preserve"> household incomes and, in turn, to a deepening recession.</w:t>
      </w:r>
      <w:r w:rsidR="001D45DF" w:rsidRPr="00CD7EA4">
        <w:rPr>
          <w:b w:val="0"/>
          <w:lang w:val="en-GB"/>
        </w:rPr>
        <w:t xml:space="preserve"> Inadequate </w:t>
      </w:r>
      <w:r w:rsidR="00AE27E5" w:rsidRPr="00CD7EA4">
        <w:rPr>
          <w:b w:val="0"/>
          <w:lang w:val="en-GB"/>
        </w:rPr>
        <w:t xml:space="preserve">capital </w:t>
      </w:r>
      <w:r w:rsidR="001D45DF" w:rsidRPr="00CD7EA4">
        <w:rPr>
          <w:b w:val="0"/>
          <w:lang w:val="en-GB"/>
        </w:rPr>
        <w:t xml:space="preserve">creation by banks in the </w:t>
      </w:r>
      <w:r w:rsidR="00CD4784" w:rsidRPr="00CD7EA4">
        <w:rPr>
          <w:b w:val="0"/>
          <w:lang w:val="en-GB"/>
        </w:rPr>
        <w:t>upward</w:t>
      </w:r>
      <w:r w:rsidR="001D45DF" w:rsidRPr="00CD7EA4">
        <w:rPr>
          <w:b w:val="0"/>
          <w:lang w:val="en-GB"/>
        </w:rPr>
        <w:t xml:space="preserve"> phase of the financial cycle was thus reflected in a downward spiral where </w:t>
      </w:r>
      <w:r w:rsidR="009C093E" w:rsidRPr="00CD7EA4">
        <w:rPr>
          <w:b w:val="0"/>
          <w:lang w:val="en-GB"/>
        </w:rPr>
        <w:t>falling</w:t>
      </w:r>
      <w:r w:rsidR="001D45DF" w:rsidRPr="00CD7EA4">
        <w:rPr>
          <w:b w:val="0"/>
          <w:lang w:val="en-GB"/>
        </w:rPr>
        <w:t xml:space="preserve"> aggregate demand due to difficulties in raising funds for viable projects </w:t>
      </w:r>
      <w:r w:rsidR="00CD7EA4">
        <w:rPr>
          <w:b w:val="0"/>
          <w:lang w:val="en-GB"/>
        </w:rPr>
        <w:t>led to</w:t>
      </w:r>
      <w:r w:rsidR="001D45DF" w:rsidRPr="00CD7EA4">
        <w:rPr>
          <w:b w:val="0"/>
          <w:lang w:val="en-GB"/>
        </w:rPr>
        <w:t xml:space="preserve"> further credit losses and </w:t>
      </w:r>
      <w:r w:rsidR="009C093E" w:rsidRPr="00CD7EA4">
        <w:rPr>
          <w:b w:val="0"/>
          <w:lang w:val="en-GB"/>
        </w:rPr>
        <w:t xml:space="preserve">further </w:t>
      </w:r>
      <w:r w:rsidR="00A24D03" w:rsidRPr="00CD7EA4">
        <w:rPr>
          <w:b w:val="0"/>
          <w:lang w:val="en-GB"/>
        </w:rPr>
        <w:t xml:space="preserve">lending </w:t>
      </w:r>
      <w:r w:rsidR="001D45DF" w:rsidRPr="00CD7EA4">
        <w:rPr>
          <w:b w:val="0"/>
          <w:lang w:val="en-GB"/>
        </w:rPr>
        <w:t>constraints. In some countries,</w:t>
      </w:r>
      <w:r w:rsidR="00DE63A8" w:rsidRPr="00CD7EA4">
        <w:rPr>
          <w:b w:val="0"/>
          <w:lang w:val="en-GB"/>
        </w:rPr>
        <w:t xml:space="preserve"> public </w:t>
      </w:r>
      <w:r w:rsidR="00AE27E5" w:rsidRPr="00CD7EA4">
        <w:rPr>
          <w:b w:val="0"/>
          <w:lang w:val="en-GB"/>
        </w:rPr>
        <w:t>money</w:t>
      </w:r>
      <w:r w:rsidR="00DE63A8" w:rsidRPr="00CD7EA4">
        <w:rPr>
          <w:b w:val="0"/>
          <w:lang w:val="en-GB"/>
        </w:rPr>
        <w:t xml:space="preserve"> had to be used to resolve the crisis</w:t>
      </w:r>
      <w:r w:rsidR="00A24D03" w:rsidRPr="00CD7EA4">
        <w:rPr>
          <w:b w:val="0"/>
          <w:lang w:val="en-GB"/>
        </w:rPr>
        <w:t xml:space="preserve"> in the banking sector</w:t>
      </w:r>
      <w:r w:rsidR="00DE63A8" w:rsidRPr="00CD7EA4">
        <w:rPr>
          <w:b w:val="0"/>
          <w:lang w:val="en-GB"/>
        </w:rPr>
        <w:t>. This was reflected in growth in long-term interest rates and also adversely affected the real economy.</w:t>
      </w:r>
    </w:p>
    <w:p w:rsidR="005F5040" w:rsidRPr="00CD7EA4" w:rsidRDefault="005231A1" w:rsidP="00D61831">
      <w:pPr>
        <w:pStyle w:val="NADPIS30"/>
        <w:spacing w:before="0" w:after="0"/>
        <w:rPr>
          <w:b w:val="0"/>
          <w:lang w:val="en-GB"/>
        </w:rPr>
      </w:pPr>
      <w:r w:rsidRPr="00CD7EA4">
        <w:rPr>
          <w:b w:val="0"/>
          <w:lang w:val="en-GB"/>
        </w:rPr>
        <w:t xml:space="preserve">To avoid a repeat of the </w:t>
      </w:r>
      <w:r w:rsidR="003361FD">
        <w:rPr>
          <w:b w:val="0"/>
          <w:lang w:val="en-GB"/>
        </w:rPr>
        <w:t>spill-over effects</w:t>
      </w:r>
      <w:r w:rsidR="003361FD" w:rsidRPr="00CD7EA4">
        <w:rPr>
          <w:b w:val="0"/>
          <w:lang w:val="en-GB"/>
        </w:rPr>
        <w:t xml:space="preserve"> </w:t>
      </w:r>
      <w:r w:rsidRPr="00CD7EA4">
        <w:rPr>
          <w:b w:val="0"/>
          <w:lang w:val="en-GB"/>
        </w:rPr>
        <w:t xml:space="preserve">of </w:t>
      </w:r>
      <w:r w:rsidR="009C093E" w:rsidRPr="00CD7EA4">
        <w:rPr>
          <w:b w:val="0"/>
          <w:lang w:val="en-GB"/>
        </w:rPr>
        <w:t>such</w:t>
      </w:r>
      <w:r w:rsidRPr="00CD7EA4">
        <w:rPr>
          <w:b w:val="0"/>
          <w:lang w:val="en-GB"/>
        </w:rPr>
        <w:t xml:space="preserve"> shocks from the financial sector to the real economy, a countercyclical capital buffer </w:t>
      </w:r>
      <w:r w:rsidR="00F44044" w:rsidRPr="00CD7EA4">
        <w:rPr>
          <w:b w:val="0"/>
          <w:lang w:val="en-GB"/>
        </w:rPr>
        <w:t>(</w:t>
      </w:r>
      <w:proofErr w:type="spellStart"/>
      <w:r w:rsidR="00F44044" w:rsidRPr="00CD7EA4">
        <w:rPr>
          <w:b w:val="0"/>
          <w:lang w:val="en-GB"/>
        </w:rPr>
        <w:t>CCyB</w:t>
      </w:r>
      <w:proofErr w:type="spellEnd"/>
      <w:r w:rsidR="00F44044" w:rsidRPr="00CD7EA4">
        <w:rPr>
          <w:b w:val="0"/>
          <w:lang w:val="en-GB"/>
        </w:rPr>
        <w:t xml:space="preserve">) </w:t>
      </w:r>
      <w:r w:rsidRPr="00CD7EA4">
        <w:rPr>
          <w:b w:val="0"/>
          <w:lang w:val="en-GB"/>
        </w:rPr>
        <w:t xml:space="preserve">has been incorporated into the </w:t>
      </w:r>
      <w:proofErr w:type="spellStart"/>
      <w:r w:rsidRPr="00CD7EA4">
        <w:rPr>
          <w:b w:val="0"/>
          <w:lang w:val="en-GB"/>
        </w:rPr>
        <w:t>macroprudential</w:t>
      </w:r>
      <w:proofErr w:type="spellEnd"/>
      <w:r w:rsidRPr="00CD7EA4">
        <w:rPr>
          <w:b w:val="0"/>
          <w:lang w:val="en-GB"/>
        </w:rPr>
        <w:t xml:space="preserve"> policy toolkit (BCBS, 2010). </w:t>
      </w:r>
      <w:r w:rsidR="00DA4F39" w:rsidRPr="00CD7EA4">
        <w:rPr>
          <w:b w:val="0"/>
          <w:lang w:val="en-GB"/>
        </w:rPr>
        <w:t xml:space="preserve">The </w:t>
      </w:r>
      <w:proofErr w:type="spellStart"/>
      <w:r w:rsidR="00DA4F39" w:rsidRPr="00CD7EA4">
        <w:rPr>
          <w:b w:val="0"/>
          <w:lang w:val="en-GB"/>
        </w:rPr>
        <w:t>CCyB</w:t>
      </w:r>
      <w:proofErr w:type="spellEnd"/>
      <w:r w:rsidRPr="00CD7EA4">
        <w:rPr>
          <w:b w:val="0"/>
          <w:lang w:val="en-GB"/>
        </w:rPr>
        <w:t xml:space="preserve"> is aimed at “protecting” banks against excessive impacts of the financial cycle, which </w:t>
      </w:r>
      <w:r w:rsidR="00F44044" w:rsidRPr="00CD7EA4">
        <w:rPr>
          <w:b w:val="0"/>
          <w:lang w:val="en-GB"/>
        </w:rPr>
        <w:t>banks</w:t>
      </w:r>
      <w:r w:rsidRPr="00CD7EA4">
        <w:rPr>
          <w:b w:val="0"/>
          <w:lang w:val="en-GB"/>
        </w:rPr>
        <w:t xml:space="preserve"> themselves </w:t>
      </w:r>
      <w:r w:rsidR="00DA4F39" w:rsidRPr="00CD7EA4">
        <w:rPr>
          <w:b w:val="0"/>
          <w:lang w:val="en-GB"/>
        </w:rPr>
        <w:t>are involved in creating</w:t>
      </w:r>
      <w:r w:rsidRPr="00CD7EA4">
        <w:rPr>
          <w:b w:val="0"/>
          <w:lang w:val="en-GB"/>
        </w:rPr>
        <w:t>. In the spirit of this regulation, banks</w:t>
      </w:r>
      <w:r w:rsidR="000241E5" w:rsidRPr="00CD7EA4">
        <w:rPr>
          <w:b w:val="0"/>
          <w:lang w:val="en-GB"/>
        </w:rPr>
        <w:t xml:space="preserve"> </w:t>
      </w:r>
      <w:r w:rsidR="00DA4F39" w:rsidRPr="00CD7EA4">
        <w:rPr>
          <w:b w:val="0"/>
          <w:lang w:val="en-GB"/>
        </w:rPr>
        <w:t>are meant to</w:t>
      </w:r>
      <w:r w:rsidR="000241E5" w:rsidRPr="00CD7EA4">
        <w:rPr>
          <w:b w:val="0"/>
          <w:lang w:val="en-GB"/>
        </w:rPr>
        <w:t xml:space="preserve"> </w:t>
      </w:r>
      <w:r w:rsidR="00DA4F39" w:rsidRPr="00CD7EA4">
        <w:rPr>
          <w:b w:val="0"/>
          <w:lang w:val="en-GB"/>
        </w:rPr>
        <w:t>set aside</w:t>
      </w:r>
      <w:r w:rsidR="000241E5" w:rsidRPr="00CD7EA4">
        <w:rPr>
          <w:b w:val="0"/>
          <w:lang w:val="en-GB"/>
        </w:rPr>
        <w:t xml:space="preserve"> a sufficient buffer </w:t>
      </w:r>
      <w:r w:rsidR="009C093E" w:rsidRPr="00CD7EA4">
        <w:rPr>
          <w:b w:val="0"/>
          <w:lang w:val="en-GB"/>
        </w:rPr>
        <w:t>in good times</w:t>
      </w:r>
      <w:r w:rsidR="005E2972" w:rsidRPr="00CD7EA4">
        <w:rPr>
          <w:b w:val="0"/>
          <w:lang w:val="en-GB"/>
        </w:rPr>
        <w:t xml:space="preserve"> –</w:t>
      </w:r>
      <w:r w:rsidR="009C093E" w:rsidRPr="00CD7EA4">
        <w:rPr>
          <w:b w:val="0"/>
          <w:lang w:val="en-GB"/>
        </w:rPr>
        <w:t xml:space="preserve"> characterised by rapid credit growth accompanied by relaxation of credit standards and </w:t>
      </w:r>
      <w:r w:rsidR="00DA4F39" w:rsidRPr="00CD7EA4">
        <w:rPr>
          <w:b w:val="0"/>
          <w:lang w:val="en-GB"/>
        </w:rPr>
        <w:t>growth in</w:t>
      </w:r>
      <w:r w:rsidR="009C093E" w:rsidRPr="00CD7EA4">
        <w:rPr>
          <w:b w:val="0"/>
          <w:lang w:val="en-GB"/>
        </w:rPr>
        <w:t xml:space="preserve"> property prices</w:t>
      </w:r>
      <w:r w:rsidR="005E2972" w:rsidRPr="00CD7EA4">
        <w:rPr>
          <w:b w:val="0"/>
          <w:lang w:val="en-GB"/>
        </w:rPr>
        <w:t xml:space="preserve"> –</w:t>
      </w:r>
      <w:r w:rsidR="009C093E" w:rsidRPr="00CD7EA4">
        <w:rPr>
          <w:b w:val="0"/>
          <w:lang w:val="en-GB"/>
        </w:rPr>
        <w:t xml:space="preserve"> </w:t>
      </w:r>
      <w:r w:rsidR="000241E5" w:rsidRPr="00CD7EA4">
        <w:rPr>
          <w:b w:val="0"/>
          <w:lang w:val="en-GB"/>
        </w:rPr>
        <w:t xml:space="preserve">to cover losses </w:t>
      </w:r>
      <w:r w:rsidR="00312EED">
        <w:rPr>
          <w:b w:val="0"/>
          <w:lang w:val="en-GB"/>
        </w:rPr>
        <w:t>arising from</w:t>
      </w:r>
      <w:r w:rsidR="000241E5" w:rsidRPr="00CD7EA4">
        <w:rPr>
          <w:b w:val="0"/>
          <w:lang w:val="en-GB"/>
        </w:rPr>
        <w:t xml:space="preserve"> the switch to the downward phase of the financial cycle.</w:t>
      </w:r>
    </w:p>
    <w:p w:rsidR="007A4D16" w:rsidRPr="00CD7EA4" w:rsidRDefault="00253D42" w:rsidP="00D61831">
      <w:pPr>
        <w:pStyle w:val="NADPIS30"/>
        <w:spacing w:before="0" w:after="0"/>
        <w:rPr>
          <w:b w:val="0"/>
          <w:lang w:val="en-GB"/>
        </w:rPr>
      </w:pPr>
      <w:r w:rsidRPr="00CD7EA4">
        <w:rPr>
          <w:b w:val="0"/>
          <w:lang w:val="en-GB"/>
        </w:rPr>
        <w:t xml:space="preserve">The buffer should be released </w:t>
      </w:r>
      <w:r w:rsidR="00DA4F39" w:rsidRPr="00CD7EA4">
        <w:rPr>
          <w:b w:val="0"/>
          <w:lang w:val="en-GB"/>
        </w:rPr>
        <w:t>when</w:t>
      </w:r>
      <w:r w:rsidRPr="00CD7EA4">
        <w:rPr>
          <w:b w:val="0"/>
          <w:lang w:val="en-GB"/>
        </w:rPr>
        <w:t xml:space="preserve"> risk materialises, </w:t>
      </w:r>
      <w:r w:rsidR="00312EED">
        <w:rPr>
          <w:b w:val="0"/>
          <w:lang w:val="en-GB"/>
        </w:rPr>
        <w:t>so</w:t>
      </w:r>
      <w:r w:rsidRPr="00CD7EA4">
        <w:rPr>
          <w:b w:val="0"/>
          <w:lang w:val="en-GB"/>
        </w:rPr>
        <w:t xml:space="preserve"> banks should </w:t>
      </w:r>
      <w:r w:rsidR="00312EED">
        <w:rPr>
          <w:b w:val="0"/>
          <w:lang w:val="en-GB"/>
        </w:rPr>
        <w:t>be able to</w:t>
      </w:r>
      <w:r w:rsidRPr="00CD7EA4">
        <w:rPr>
          <w:b w:val="0"/>
          <w:lang w:val="en-GB"/>
        </w:rPr>
        <w:t xml:space="preserve"> apply a reduced capital requirement to maintain the supply of credit to the sound part of the real economy. As adverse shocks can occur unexpectedly, the </w:t>
      </w:r>
      <w:proofErr w:type="spellStart"/>
      <w:r w:rsidRPr="00CD7EA4">
        <w:rPr>
          <w:b w:val="0"/>
          <w:lang w:val="en-GB"/>
        </w:rPr>
        <w:t>macroprudential</w:t>
      </w:r>
      <w:proofErr w:type="spellEnd"/>
      <w:r w:rsidRPr="00CD7EA4">
        <w:rPr>
          <w:b w:val="0"/>
          <w:lang w:val="en-GB"/>
        </w:rPr>
        <w:t xml:space="preserve"> authority can set a new </w:t>
      </w:r>
      <w:proofErr w:type="spellStart"/>
      <w:r w:rsidRPr="00CD7EA4">
        <w:rPr>
          <w:b w:val="0"/>
          <w:lang w:val="en-GB"/>
        </w:rPr>
        <w:t>CCyB</w:t>
      </w:r>
      <w:proofErr w:type="spellEnd"/>
      <w:r w:rsidRPr="00CD7EA4">
        <w:rPr>
          <w:b w:val="0"/>
          <w:lang w:val="en-GB"/>
        </w:rPr>
        <w:t xml:space="preserve"> rate with immediate effect</w:t>
      </w:r>
      <w:r w:rsidR="00A24D03" w:rsidRPr="00CD7EA4">
        <w:rPr>
          <w:b w:val="0"/>
          <w:lang w:val="en-GB"/>
        </w:rPr>
        <w:t xml:space="preserve"> when deciding to release the buffer</w:t>
      </w:r>
      <w:r w:rsidRPr="00CD7EA4">
        <w:rPr>
          <w:b w:val="0"/>
          <w:lang w:val="en-GB"/>
        </w:rPr>
        <w:t>.</w:t>
      </w:r>
      <w:r w:rsidR="00B557E0">
        <w:rPr>
          <w:b w:val="0"/>
          <w:lang w:val="en-GB"/>
        </w:rPr>
        <w:t xml:space="preserve"> </w:t>
      </w:r>
      <w:r w:rsidR="00EF6958">
        <w:rPr>
          <w:b w:val="0"/>
          <w:lang w:val="en-GB"/>
        </w:rPr>
        <w:t>The a</w:t>
      </w:r>
      <w:r w:rsidR="00842296" w:rsidRPr="00CD7EA4">
        <w:rPr>
          <w:b w:val="0"/>
          <w:lang w:val="en-GB"/>
        </w:rPr>
        <w:t xml:space="preserve">ddition of a </w:t>
      </w:r>
      <w:proofErr w:type="spellStart"/>
      <w:r w:rsidR="00842296" w:rsidRPr="00CD7EA4">
        <w:rPr>
          <w:b w:val="0"/>
          <w:lang w:val="en-GB"/>
        </w:rPr>
        <w:t>CCyB</w:t>
      </w:r>
      <w:proofErr w:type="spellEnd"/>
      <w:r w:rsidR="00842296" w:rsidRPr="00CD7EA4">
        <w:rPr>
          <w:b w:val="0"/>
          <w:lang w:val="en-GB"/>
        </w:rPr>
        <w:t xml:space="preserve"> rate to the overall capital requirement </w:t>
      </w:r>
      <w:r w:rsidR="00842296">
        <w:rPr>
          <w:b w:val="0"/>
          <w:lang w:val="en-GB"/>
        </w:rPr>
        <w:t>may help tame c</w:t>
      </w:r>
      <w:r w:rsidR="00842296" w:rsidRPr="00CD7EA4">
        <w:rPr>
          <w:b w:val="0"/>
          <w:lang w:val="en-GB"/>
        </w:rPr>
        <w:t xml:space="preserve">redit </w:t>
      </w:r>
      <w:r w:rsidR="00287392" w:rsidRPr="00CD7EA4">
        <w:rPr>
          <w:b w:val="0"/>
          <w:lang w:val="en-GB"/>
        </w:rPr>
        <w:t xml:space="preserve">growth </w:t>
      </w:r>
      <w:r w:rsidR="00DA4F39" w:rsidRPr="00CD7EA4">
        <w:rPr>
          <w:b w:val="0"/>
          <w:lang w:val="en-GB"/>
        </w:rPr>
        <w:t xml:space="preserve">in </w:t>
      </w:r>
      <w:r w:rsidR="00357594" w:rsidRPr="00CD7EA4">
        <w:rPr>
          <w:b w:val="0"/>
          <w:lang w:val="en-GB"/>
        </w:rPr>
        <w:t>the</w:t>
      </w:r>
      <w:r w:rsidR="00DA4F39" w:rsidRPr="00CD7EA4">
        <w:rPr>
          <w:b w:val="0"/>
          <w:lang w:val="en-GB"/>
        </w:rPr>
        <w:t xml:space="preserve"> expansion phase of the financial cycle</w:t>
      </w:r>
      <w:r w:rsidR="00842296">
        <w:rPr>
          <w:b w:val="0"/>
          <w:lang w:val="en-US"/>
        </w:rPr>
        <w:t>;</w:t>
      </w:r>
      <w:r w:rsidR="00842296" w:rsidRPr="00CD7EA4">
        <w:rPr>
          <w:b w:val="0"/>
          <w:lang w:val="en-GB"/>
        </w:rPr>
        <w:t xml:space="preserve"> </w:t>
      </w:r>
      <w:r w:rsidR="00842296">
        <w:rPr>
          <w:b w:val="0"/>
          <w:lang w:val="en-GB"/>
        </w:rPr>
        <w:t>h</w:t>
      </w:r>
      <w:r w:rsidR="00842296" w:rsidRPr="00CD7EA4">
        <w:rPr>
          <w:b w:val="0"/>
          <w:lang w:val="en-GB"/>
        </w:rPr>
        <w:t>owever</w:t>
      </w:r>
      <w:r w:rsidR="00287392" w:rsidRPr="00CD7EA4">
        <w:rPr>
          <w:b w:val="0"/>
          <w:lang w:val="en-GB"/>
        </w:rPr>
        <w:t xml:space="preserve">, this can be regarded </w:t>
      </w:r>
      <w:r w:rsidR="00312EED" w:rsidRPr="00CD7EA4">
        <w:rPr>
          <w:b w:val="0"/>
          <w:lang w:val="en-GB"/>
        </w:rPr>
        <w:t xml:space="preserve">only </w:t>
      </w:r>
      <w:r w:rsidR="00287392" w:rsidRPr="00CD7EA4">
        <w:rPr>
          <w:b w:val="0"/>
          <w:lang w:val="en-GB"/>
        </w:rPr>
        <w:t xml:space="preserve">as a positive side-effect of the </w:t>
      </w:r>
      <w:proofErr w:type="spellStart"/>
      <w:r w:rsidR="00287392" w:rsidRPr="00CD7EA4">
        <w:rPr>
          <w:b w:val="0"/>
          <w:lang w:val="en-GB"/>
        </w:rPr>
        <w:t>CCyB</w:t>
      </w:r>
      <w:proofErr w:type="spellEnd"/>
      <w:r w:rsidR="00287392" w:rsidRPr="00CD7EA4">
        <w:rPr>
          <w:b w:val="0"/>
          <w:lang w:val="en-GB"/>
        </w:rPr>
        <w:t xml:space="preserve"> and is not the main purpose of creating the buffer</w:t>
      </w:r>
      <w:r w:rsidR="0092728B" w:rsidRPr="00CD7EA4">
        <w:rPr>
          <w:b w:val="0"/>
          <w:lang w:val="en-GB"/>
        </w:rPr>
        <w:t>.</w:t>
      </w:r>
      <w:r w:rsidR="00D81EE8" w:rsidRPr="00CD7EA4">
        <w:rPr>
          <w:rStyle w:val="Znakapoznpodarou"/>
          <w:b w:val="0"/>
          <w:lang w:val="en-GB"/>
        </w:rPr>
        <w:footnoteReference w:id="2"/>
      </w:r>
      <w:r w:rsidR="0092728B" w:rsidRPr="00CD7EA4">
        <w:rPr>
          <w:b w:val="0"/>
          <w:lang w:val="en-GB"/>
        </w:rPr>
        <w:t xml:space="preserve"> </w:t>
      </w:r>
      <w:r w:rsidR="00287392" w:rsidRPr="00CD7EA4">
        <w:rPr>
          <w:b w:val="0"/>
          <w:lang w:val="en-GB"/>
        </w:rPr>
        <w:t xml:space="preserve">The primary objective is still to </w:t>
      </w:r>
      <w:r w:rsidR="00357594" w:rsidRPr="00CD7EA4">
        <w:rPr>
          <w:b w:val="0"/>
          <w:lang w:val="en-GB"/>
        </w:rPr>
        <w:t>boost</w:t>
      </w:r>
      <w:r w:rsidR="00287392" w:rsidRPr="00CD7EA4">
        <w:rPr>
          <w:b w:val="0"/>
          <w:lang w:val="en-GB"/>
        </w:rPr>
        <w:t xml:space="preserve"> the banking sector’s resilience to adverse shocks at time</w:t>
      </w:r>
      <w:r w:rsidR="00A24D03" w:rsidRPr="00CD7EA4">
        <w:rPr>
          <w:b w:val="0"/>
          <w:lang w:val="en-GB"/>
        </w:rPr>
        <w:t>s</w:t>
      </w:r>
      <w:r w:rsidR="00287392" w:rsidRPr="00CD7EA4">
        <w:rPr>
          <w:b w:val="0"/>
          <w:lang w:val="en-GB"/>
        </w:rPr>
        <w:t xml:space="preserve"> of financial instability and to ensure smooth </w:t>
      </w:r>
      <w:r w:rsidR="00BB4762" w:rsidRPr="00CD7EA4">
        <w:rPr>
          <w:b w:val="0"/>
          <w:lang w:val="en-GB"/>
        </w:rPr>
        <w:t>funding</w:t>
      </w:r>
      <w:r w:rsidR="00287392" w:rsidRPr="00CD7EA4">
        <w:rPr>
          <w:b w:val="0"/>
          <w:lang w:val="en-GB"/>
        </w:rPr>
        <w:t xml:space="preserve"> of the real economy </w:t>
      </w:r>
      <w:r w:rsidR="00312EED">
        <w:rPr>
          <w:b w:val="0"/>
          <w:lang w:val="en-GB"/>
        </w:rPr>
        <w:t>through the</w:t>
      </w:r>
      <w:r w:rsidR="00287392" w:rsidRPr="00CD7EA4">
        <w:rPr>
          <w:b w:val="0"/>
          <w:lang w:val="en-GB"/>
        </w:rPr>
        <w:t xml:space="preserve"> financial cycle</w:t>
      </w:r>
      <w:r w:rsidR="00F56DC9" w:rsidRPr="00CD7EA4">
        <w:rPr>
          <w:b w:val="0"/>
          <w:lang w:val="en-GB"/>
        </w:rPr>
        <w:t>.</w:t>
      </w:r>
      <w:r w:rsidR="00B931EC" w:rsidRPr="00CD7EA4">
        <w:rPr>
          <w:b w:val="0"/>
          <w:lang w:val="en-GB"/>
        </w:rPr>
        <w:t xml:space="preserve"> </w:t>
      </w:r>
    </w:p>
    <w:p w:rsidR="0081342F" w:rsidRPr="00CD7EA4" w:rsidRDefault="009419CA" w:rsidP="00D61831">
      <w:pPr>
        <w:pStyle w:val="NADPIS30"/>
        <w:spacing w:before="0" w:after="0"/>
        <w:rPr>
          <w:b w:val="0"/>
          <w:lang w:val="en-GB"/>
        </w:rPr>
      </w:pPr>
      <w:r w:rsidRPr="002A2762">
        <w:rPr>
          <w:b w:val="0"/>
          <w:lang w:val="en-GB"/>
        </w:rPr>
        <w:t xml:space="preserve">The </w:t>
      </w:r>
      <w:proofErr w:type="spellStart"/>
      <w:r w:rsidR="00474826" w:rsidRPr="002A2762">
        <w:rPr>
          <w:b w:val="0"/>
          <w:lang w:val="en-GB"/>
        </w:rPr>
        <w:t>CCyB</w:t>
      </w:r>
      <w:proofErr w:type="spellEnd"/>
      <w:r w:rsidR="00474826" w:rsidRPr="002A2762">
        <w:rPr>
          <w:b w:val="0"/>
          <w:lang w:val="en-GB"/>
        </w:rPr>
        <w:t xml:space="preserve"> </w:t>
      </w:r>
      <w:r w:rsidRPr="002A2762">
        <w:rPr>
          <w:b w:val="0"/>
          <w:lang w:val="en-GB"/>
        </w:rPr>
        <w:t xml:space="preserve">is a new </w:t>
      </w:r>
      <w:proofErr w:type="spellStart"/>
      <w:r w:rsidRPr="002A2762">
        <w:rPr>
          <w:b w:val="0"/>
          <w:lang w:val="en-GB"/>
        </w:rPr>
        <w:t>macroprudential</w:t>
      </w:r>
      <w:proofErr w:type="spellEnd"/>
      <w:r w:rsidRPr="002A2762">
        <w:rPr>
          <w:b w:val="0"/>
          <w:lang w:val="en-GB"/>
        </w:rPr>
        <w:t xml:space="preserve"> tool and there is limited experience with its use so far.</w:t>
      </w:r>
      <w:r w:rsidR="000B7301" w:rsidRPr="002A2762">
        <w:rPr>
          <w:b w:val="0"/>
          <w:lang w:val="en-GB"/>
        </w:rPr>
        <w:t xml:space="preserve"> A universally shared approach to the introduction of non-zero </w:t>
      </w:r>
      <w:proofErr w:type="spellStart"/>
      <w:r w:rsidR="000B7301" w:rsidRPr="002A2762">
        <w:rPr>
          <w:b w:val="0"/>
          <w:lang w:val="en-GB"/>
        </w:rPr>
        <w:t>CCyB</w:t>
      </w:r>
      <w:proofErr w:type="spellEnd"/>
      <w:r w:rsidR="000B7301" w:rsidRPr="002A2762">
        <w:rPr>
          <w:b w:val="0"/>
          <w:lang w:val="en-GB"/>
        </w:rPr>
        <w:t xml:space="preserve"> rates and the setting of their specific level has yet to emerge in the international regulatory community. Some </w:t>
      </w:r>
      <w:proofErr w:type="spellStart"/>
      <w:r w:rsidR="000B7301" w:rsidRPr="002A2762">
        <w:rPr>
          <w:b w:val="0"/>
          <w:lang w:val="en-GB"/>
        </w:rPr>
        <w:t>macroprudential</w:t>
      </w:r>
      <w:proofErr w:type="spellEnd"/>
      <w:r w:rsidR="000B7301" w:rsidRPr="002A2762">
        <w:rPr>
          <w:b w:val="0"/>
          <w:lang w:val="en-GB"/>
        </w:rPr>
        <w:t xml:space="preserve"> authorities view the </w:t>
      </w:r>
      <w:proofErr w:type="spellStart"/>
      <w:r w:rsidR="000B7301" w:rsidRPr="002A2762">
        <w:rPr>
          <w:b w:val="0"/>
          <w:lang w:val="en-GB"/>
        </w:rPr>
        <w:t>CCyB</w:t>
      </w:r>
      <w:proofErr w:type="spellEnd"/>
      <w:r w:rsidR="000B7301" w:rsidRPr="002A2762">
        <w:rPr>
          <w:b w:val="0"/>
          <w:lang w:val="en-GB"/>
        </w:rPr>
        <w:t xml:space="preserve"> as a tool that should only be applied in a strongly </w:t>
      </w:r>
      <w:r w:rsidR="000B7301" w:rsidRPr="002A2762">
        <w:rPr>
          <w:b w:val="0"/>
          <w:lang w:val="en-GB"/>
        </w:rPr>
        <w:lastRenderedPageBreak/>
        <w:t xml:space="preserve">expansionary phase of the financial cycle when systemic risks are already clearly visible. Other </w:t>
      </w:r>
      <w:proofErr w:type="spellStart"/>
      <w:r w:rsidR="000B7301" w:rsidRPr="002A2762">
        <w:rPr>
          <w:b w:val="0"/>
          <w:lang w:val="en-GB"/>
        </w:rPr>
        <w:t>macroprudential</w:t>
      </w:r>
      <w:proofErr w:type="spellEnd"/>
      <w:r w:rsidR="000B7301" w:rsidRPr="002A2762">
        <w:rPr>
          <w:b w:val="0"/>
          <w:lang w:val="en-GB"/>
        </w:rPr>
        <w:t xml:space="preserve"> authorities prefer a more prudent approach</w:t>
      </w:r>
      <w:r w:rsidR="006A68DA" w:rsidRPr="002A2762">
        <w:rPr>
          <w:b w:val="0"/>
          <w:lang w:val="en-GB"/>
        </w:rPr>
        <w:t xml:space="preserve"> in which the </w:t>
      </w:r>
      <w:proofErr w:type="spellStart"/>
      <w:r w:rsidR="006A68DA" w:rsidRPr="002A2762">
        <w:rPr>
          <w:b w:val="0"/>
          <w:lang w:val="en-GB"/>
        </w:rPr>
        <w:t>CCyB</w:t>
      </w:r>
      <w:proofErr w:type="spellEnd"/>
      <w:r w:rsidR="006A68DA" w:rsidRPr="002A2762">
        <w:rPr>
          <w:b w:val="0"/>
          <w:lang w:val="en-GB"/>
        </w:rPr>
        <w:t xml:space="preserve"> should be created right at the start of a credit recovery or at a certain level even in the neutral phase of the cycle</w:t>
      </w:r>
      <w:r w:rsidR="00474826" w:rsidRPr="002A2762">
        <w:rPr>
          <w:b w:val="0"/>
          <w:lang w:val="en-GB"/>
        </w:rPr>
        <w:t>.</w:t>
      </w:r>
      <w:r w:rsidR="00C5449D" w:rsidRPr="002A2762">
        <w:rPr>
          <w:b w:val="0"/>
          <w:lang w:val="en-GB"/>
        </w:rPr>
        <w:t xml:space="preserve"> </w:t>
      </w:r>
      <w:r w:rsidR="00E13A5E" w:rsidRPr="002A2762">
        <w:rPr>
          <w:b w:val="0"/>
          <w:lang w:val="en-GB"/>
        </w:rPr>
        <w:t xml:space="preserve">Five countries in the European Economic Area had set non-zero </w:t>
      </w:r>
      <w:proofErr w:type="spellStart"/>
      <w:r w:rsidR="00E13A5E" w:rsidRPr="002A2762">
        <w:rPr>
          <w:b w:val="0"/>
          <w:lang w:val="en-GB"/>
        </w:rPr>
        <w:t>CCyB</w:t>
      </w:r>
      <w:proofErr w:type="spellEnd"/>
      <w:r w:rsidR="00E13A5E" w:rsidRPr="002A2762">
        <w:rPr>
          <w:b w:val="0"/>
          <w:lang w:val="en-GB"/>
        </w:rPr>
        <w:t xml:space="preserve"> rates by </w:t>
      </w:r>
      <w:r w:rsidR="00A33412" w:rsidRPr="002A2762">
        <w:rPr>
          <w:b w:val="0"/>
          <w:lang w:val="en-GB"/>
        </w:rPr>
        <w:t>November</w:t>
      </w:r>
      <w:r w:rsidR="00E13A5E" w:rsidRPr="002A2762">
        <w:rPr>
          <w:b w:val="0"/>
          <w:lang w:val="en-GB"/>
        </w:rPr>
        <w:t xml:space="preserve"> 2017</w:t>
      </w:r>
      <w:r w:rsidR="0081342F" w:rsidRPr="002A2762">
        <w:rPr>
          <w:b w:val="0"/>
          <w:lang w:val="en-GB"/>
        </w:rPr>
        <w:t xml:space="preserve"> (</w:t>
      </w:r>
      <w:r w:rsidR="00A33412" w:rsidRPr="002A2762">
        <w:rPr>
          <w:b w:val="0"/>
          <w:lang w:val="en-GB"/>
        </w:rPr>
        <w:t>ranging from 0.5 to 2.0%</w:t>
      </w:r>
      <w:r w:rsidR="0081342F" w:rsidRPr="002A2762">
        <w:rPr>
          <w:b w:val="0"/>
          <w:lang w:val="en-GB"/>
        </w:rPr>
        <w:t>).</w:t>
      </w:r>
      <w:r w:rsidR="00AD39B3" w:rsidRPr="002A2762">
        <w:rPr>
          <w:b w:val="0"/>
          <w:lang w:val="en-GB"/>
        </w:rPr>
        <w:t xml:space="preserve"> </w:t>
      </w:r>
    </w:p>
    <w:p w:rsidR="00EF7429" w:rsidRPr="002A2762" w:rsidRDefault="00845144" w:rsidP="002A2762">
      <w:pPr>
        <w:pStyle w:val="NADPIS30"/>
        <w:spacing w:before="0" w:after="0"/>
        <w:rPr>
          <w:b w:val="0"/>
          <w:lang w:val="en-GB"/>
        </w:rPr>
      </w:pPr>
      <w:r w:rsidRPr="002A2762">
        <w:rPr>
          <w:b w:val="0"/>
          <w:lang w:val="en-GB"/>
        </w:rPr>
        <w:t xml:space="preserve">The basic framework for applying the </w:t>
      </w:r>
      <w:proofErr w:type="spellStart"/>
      <w:r w:rsidRPr="002A2762">
        <w:rPr>
          <w:b w:val="0"/>
          <w:lang w:val="en-GB"/>
        </w:rPr>
        <w:t>CCyB</w:t>
      </w:r>
      <w:proofErr w:type="spellEnd"/>
      <w:r w:rsidRPr="002A2762">
        <w:rPr>
          <w:b w:val="0"/>
          <w:lang w:val="en-GB"/>
        </w:rPr>
        <w:t xml:space="preserve"> was formulated by the Basel Committee on Banking Supervision (BCBS) and subsequently introduced into EU regulatory practice through the CRD IV directive and its transposition into the Member States’ national legislation</w:t>
      </w:r>
      <w:r w:rsidR="00EF7429" w:rsidRPr="002A2762">
        <w:rPr>
          <w:b w:val="0"/>
          <w:lang w:val="en-GB"/>
        </w:rPr>
        <w:t xml:space="preserve">. </w:t>
      </w:r>
      <w:r w:rsidRPr="002A2762">
        <w:rPr>
          <w:b w:val="0"/>
          <w:lang w:val="en-GB"/>
        </w:rPr>
        <w:t xml:space="preserve">The European Systemic Risk Board (ESRB) </w:t>
      </w:r>
      <w:r w:rsidR="00886082" w:rsidRPr="002A2762">
        <w:rPr>
          <w:b w:val="0"/>
          <w:lang w:val="en-GB"/>
        </w:rPr>
        <w:t xml:space="preserve">further developed the core principles of the original framework in the form of a recommendation (ESRB, 2014). </w:t>
      </w:r>
      <w:r w:rsidR="00810152" w:rsidRPr="002A2762">
        <w:rPr>
          <w:b w:val="0"/>
          <w:lang w:val="en-GB"/>
        </w:rPr>
        <w:t xml:space="preserve">From the operational </w:t>
      </w:r>
      <w:proofErr w:type="spellStart"/>
      <w:r w:rsidR="00810152" w:rsidRPr="002A2762">
        <w:rPr>
          <w:b w:val="0"/>
          <w:lang w:val="en-GB"/>
        </w:rPr>
        <w:t>macroprudential</w:t>
      </w:r>
      <w:proofErr w:type="spellEnd"/>
      <w:r w:rsidR="00810152" w:rsidRPr="002A2762">
        <w:rPr>
          <w:b w:val="0"/>
          <w:lang w:val="en-GB"/>
        </w:rPr>
        <w:t xml:space="preserve"> policy</w:t>
      </w:r>
      <w:r w:rsidR="00CC115E" w:rsidRPr="002A2762">
        <w:rPr>
          <w:b w:val="0"/>
          <w:lang w:val="en-GB"/>
        </w:rPr>
        <w:t>-</w:t>
      </w:r>
      <w:r w:rsidR="00810152" w:rsidRPr="002A2762">
        <w:rPr>
          <w:b w:val="0"/>
          <w:lang w:val="en-GB"/>
        </w:rPr>
        <w:t>making</w:t>
      </w:r>
      <w:r w:rsidR="00CC115E" w:rsidRPr="002A2762">
        <w:rPr>
          <w:b w:val="0"/>
          <w:lang w:val="en-GB"/>
        </w:rPr>
        <w:t xml:space="preserve"> </w:t>
      </w:r>
      <w:r w:rsidR="009C2754" w:rsidRPr="002A2762">
        <w:rPr>
          <w:b w:val="0"/>
          <w:lang w:val="en-GB"/>
        </w:rPr>
        <w:t>perspective</w:t>
      </w:r>
      <w:r w:rsidR="00810152" w:rsidRPr="002A2762">
        <w:rPr>
          <w:b w:val="0"/>
          <w:lang w:val="en-GB"/>
        </w:rPr>
        <w:t xml:space="preserve">, </w:t>
      </w:r>
      <w:r w:rsidR="009C2754" w:rsidRPr="002A2762">
        <w:rPr>
          <w:b w:val="0"/>
          <w:lang w:val="en-GB"/>
        </w:rPr>
        <w:t>though</w:t>
      </w:r>
      <w:r w:rsidR="00810152" w:rsidRPr="002A2762">
        <w:rPr>
          <w:b w:val="0"/>
          <w:lang w:val="en-GB"/>
        </w:rPr>
        <w:t xml:space="preserve">, </w:t>
      </w:r>
      <w:r w:rsidR="009C2754" w:rsidRPr="002A2762">
        <w:rPr>
          <w:b w:val="0"/>
          <w:lang w:val="en-GB"/>
        </w:rPr>
        <w:t xml:space="preserve">the BCBS/ESRB methodology </w:t>
      </w:r>
      <w:r w:rsidR="00810152" w:rsidRPr="002A2762">
        <w:rPr>
          <w:b w:val="0"/>
          <w:lang w:val="en-GB"/>
        </w:rPr>
        <w:t xml:space="preserve">still </w:t>
      </w:r>
      <w:r w:rsidR="00CC115E" w:rsidRPr="002A2762">
        <w:rPr>
          <w:b w:val="0"/>
          <w:lang w:val="en-GB"/>
        </w:rPr>
        <w:t xml:space="preserve">represents </w:t>
      </w:r>
      <w:r w:rsidR="00810152" w:rsidRPr="002A2762">
        <w:rPr>
          <w:b w:val="0"/>
          <w:lang w:val="en-GB"/>
        </w:rPr>
        <w:t xml:space="preserve">only a very rough guide to when </w:t>
      </w:r>
      <w:r w:rsidR="00CC115E" w:rsidRPr="002A2762">
        <w:rPr>
          <w:b w:val="0"/>
          <w:lang w:val="en-GB"/>
        </w:rPr>
        <w:t>to introduce a</w:t>
      </w:r>
      <w:r w:rsidR="00810152" w:rsidRPr="002A2762">
        <w:rPr>
          <w:b w:val="0"/>
          <w:lang w:val="en-GB"/>
        </w:rPr>
        <w:t xml:space="preserve"> buffer rate and what rate to set. For this reason, </w:t>
      </w:r>
      <w:r w:rsidR="009C2754" w:rsidRPr="002A2762">
        <w:rPr>
          <w:b w:val="0"/>
          <w:lang w:val="en-GB"/>
        </w:rPr>
        <w:t xml:space="preserve">it </w:t>
      </w:r>
      <w:r w:rsidR="00810152" w:rsidRPr="002A2762">
        <w:rPr>
          <w:b w:val="0"/>
          <w:lang w:val="en-GB"/>
        </w:rPr>
        <w:t xml:space="preserve">needs to be further elaborated and </w:t>
      </w:r>
      <w:r w:rsidR="004C7F00" w:rsidRPr="002A2762">
        <w:rPr>
          <w:b w:val="0"/>
          <w:lang w:val="en-GB"/>
        </w:rPr>
        <w:t>tailored</w:t>
      </w:r>
      <w:r w:rsidR="002170E7" w:rsidRPr="002A2762">
        <w:rPr>
          <w:b w:val="0"/>
          <w:lang w:val="en-GB"/>
        </w:rPr>
        <w:t xml:space="preserve"> to the specifics of </w:t>
      </w:r>
      <w:r w:rsidR="004A643A" w:rsidRPr="002A2762">
        <w:rPr>
          <w:b w:val="0"/>
          <w:lang w:val="en-GB"/>
        </w:rPr>
        <w:t xml:space="preserve">each </w:t>
      </w:r>
      <w:r w:rsidR="002170E7" w:rsidRPr="002A2762">
        <w:rPr>
          <w:b w:val="0"/>
          <w:lang w:val="en-GB"/>
        </w:rPr>
        <w:t>national financial sector</w:t>
      </w:r>
      <w:r w:rsidR="00EF7429" w:rsidRPr="002A2762">
        <w:rPr>
          <w:b w:val="0"/>
          <w:lang w:val="en-GB"/>
        </w:rPr>
        <w:t>.</w:t>
      </w:r>
    </w:p>
    <w:p w:rsidR="00236250" w:rsidRPr="00CD7EA4" w:rsidRDefault="00236250" w:rsidP="002A2762">
      <w:pPr>
        <w:pStyle w:val="Hlavnitext"/>
        <w:spacing w:after="0"/>
        <w:rPr>
          <w:lang w:val="en-GB"/>
        </w:rPr>
      </w:pPr>
    </w:p>
    <w:tbl>
      <w:tblPr>
        <w:tblpPr w:leftFromText="141" w:rightFromText="141" w:vertAnchor="text" w:horzAnchor="margin" w:tblpX="74" w:tblpY="74"/>
        <w:tblW w:w="9186" w:type="dxa"/>
        <w:tblLayout w:type="fixed"/>
        <w:tblCellMar>
          <w:top w:w="28" w:type="dxa"/>
        </w:tblCellMar>
        <w:tblLook w:val="01E0" w:firstRow="1" w:lastRow="1" w:firstColumn="1" w:lastColumn="1" w:noHBand="0" w:noVBand="0"/>
      </w:tblPr>
      <w:tblGrid>
        <w:gridCol w:w="4593"/>
        <w:gridCol w:w="4593"/>
      </w:tblGrid>
      <w:tr w:rsidR="00A810B3" w:rsidRPr="00CD7EA4" w:rsidTr="006B5A4A">
        <w:trPr>
          <w:cantSplit/>
          <w:trHeight w:val="6483"/>
        </w:trPr>
        <w:tc>
          <w:tcPr>
            <w:tcW w:w="4593" w:type="dxa"/>
          </w:tcPr>
          <w:p w:rsidR="00A810B3" w:rsidRDefault="00721D47" w:rsidP="00574209">
            <w:pPr>
              <w:pStyle w:val="Grafnazev"/>
              <w:framePr w:hSpace="0" w:wrap="auto" w:vAnchor="margin" w:hAnchor="text" w:yAlign="inline"/>
              <w:rPr>
                <w:rFonts w:cs="Arial"/>
                <w:sz w:val="18"/>
                <w:szCs w:val="18"/>
                <w:lang w:val="en-GB"/>
              </w:rPr>
            </w:pPr>
            <w:r>
              <w:rPr>
                <w:rFonts w:cs="Arial"/>
                <w:noProof/>
                <w:sz w:val="18"/>
                <w:szCs w:val="18"/>
              </w:rPr>
              <w:drawing>
                <wp:inline distT="0" distB="0" distL="0" distR="0" wp14:anchorId="4A2C6FE5" wp14:editId="5A9435C3">
                  <wp:extent cx="2781300" cy="3343275"/>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3343275"/>
                          </a:xfrm>
                          <a:prstGeom prst="rect">
                            <a:avLst/>
                          </a:prstGeom>
                          <a:noFill/>
                          <a:ln>
                            <a:noFill/>
                          </a:ln>
                        </pic:spPr>
                      </pic:pic>
                    </a:graphicData>
                  </a:graphic>
                </wp:inline>
              </w:drawing>
            </w:r>
          </w:p>
          <w:p w:rsidR="007219BC" w:rsidRPr="00B557E0" w:rsidRDefault="007219BC" w:rsidP="007219BC">
            <w:pPr>
              <w:pStyle w:val="Grafnazev"/>
              <w:framePr w:hSpace="0" w:wrap="auto" w:vAnchor="margin" w:hAnchor="text" w:yAlign="inline"/>
              <w:rPr>
                <w:i/>
                <w:lang w:val="en-GB"/>
              </w:rPr>
            </w:pPr>
            <w:r w:rsidRPr="00B557E0">
              <w:rPr>
                <w:rFonts w:ascii="Times New Roman" w:hAnsi="Times New Roman"/>
                <w:i/>
                <w:sz w:val="24"/>
                <w:lang w:val="en-GB"/>
              </w:rPr>
              <w:t xml:space="preserve">Figure 1: The logic of the BCBS/ESRB regulatory framework for setting the </w:t>
            </w:r>
            <w:proofErr w:type="spellStart"/>
            <w:r w:rsidRPr="00B557E0">
              <w:rPr>
                <w:rFonts w:ascii="Times New Roman" w:hAnsi="Times New Roman"/>
                <w:i/>
                <w:sz w:val="24"/>
                <w:lang w:val="en-GB"/>
              </w:rPr>
              <w:t>CCyB</w:t>
            </w:r>
            <w:proofErr w:type="spellEnd"/>
            <w:r w:rsidRPr="00B557E0">
              <w:rPr>
                <w:rFonts w:ascii="Times New Roman" w:hAnsi="Times New Roman"/>
                <w:i/>
                <w:sz w:val="24"/>
                <w:lang w:val="en-GB"/>
              </w:rPr>
              <w:t xml:space="preserve"> rate (BCBS, 2010, ESRB, 2014) </w:t>
            </w:r>
          </w:p>
          <w:p w:rsidR="007219BC" w:rsidRPr="00CD7EA4" w:rsidRDefault="007219BC" w:rsidP="00574209">
            <w:pPr>
              <w:pStyle w:val="Grafnazev"/>
              <w:framePr w:hSpace="0" w:wrap="auto" w:vAnchor="margin" w:hAnchor="text" w:yAlign="inline"/>
              <w:rPr>
                <w:rFonts w:cs="Arial"/>
                <w:sz w:val="18"/>
                <w:szCs w:val="18"/>
                <w:lang w:val="en-GB"/>
              </w:rPr>
            </w:pPr>
          </w:p>
        </w:tc>
        <w:tc>
          <w:tcPr>
            <w:tcW w:w="4593" w:type="dxa"/>
          </w:tcPr>
          <w:p w:rsidR="00A810B3" w:rsidRDefault="00BE5896" w:rsidP="00574209">
            <w:pPr>
              <w:jc w:val="both"/>
              <w:rPr>
                <w:lang w:val="en-GB"/>
              </w:rPr>
            </w:pPr>
            <w:r>
              <w:rPr>
                <w:noProof/>
              </w:rPr>
              <w:drawing>
                <wp:inline distT="0" distB="0" distL="0" distR="0" wp14:anchorId="62C41213" wp14:editId="6A58DA44">
                  <wp:extent cx="2781300" cy="31718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3171825"/>
                          </a:xfrm>
                          <a:prstGeom prst="rect">
                            <a:avLst/>
                          </a:prstGeom>
                          <a:noFill/>
                          <a:ln>
                            <a:noFill/>
                          </a:ln>
                        </pic:spPr>
                      </pic:pic>
                    </a:graphicData>
                  </a:graphic>
                </wp:inline>
              </w:drawing>
            </w:r>
          </w:p>
          <w:p w:rsidR="007219BC" w:rsidRDefault="007219BC" w:rsidP="00574209">
            <w:pPr>
              <w:jc w:val="both"/>
              <w:rPr>
                <w:lang w:val="en-GB"/>
              </w:rPr>
            </w:pPr>
          </w:p>
          <w:p w:rsidR="007219BC" w:rsidRPr="007219BC" w:rsidRDefault="007219BC" w:rsidP="007219BC">
            <w:pPr>
              <w:pStyle w:val="grafnazev0"/>
              <w:rPr>
                <w:rFonts w:ascii="Times New Roman" w:hAnsi="Times New Roman"/>
                <w:b w:val="0"/>
                <w:i/>
                <w:sz w:val="24"/>
                <w:lang w:val="en-GB"/>
              </w:rPr>
            </w:pPr>
            <w:r w:rsidRPr="007219BC">
              <w:rPr>
                <w:rFonts w:ascii="Times New Roman" w:hAnsi="Times New Roman"/>
                <w:b w:val="0"/>
                <w:i/>
                <w:sz w:val="24"/>
                <w:lang w:val="en-GB"/>
              </w:rPr>
              <w:t xml:space="preserve">Chart 1: The credit-to-GDP gap and the hypothetical </w:t>
            </w:r>
            <w:proofErr w:type="spellStart"/>
            <w:r w:rsidRPr="007219BC">
              <w:rPr>
                <w:rFonts w:ascii="Times New Roman" w:hAnsi="Times New Roman"/>
                <w:b w:val="0"/>
                <w:i/>
                <w:sz w:val="24"/>
                <w:lang w:val="en-GB"/>
              </w:rPr>
              <w:t>CCyB</w:t>
            </w:r>
            <w:proofErr w:type="spellEnd"/>
            <w:r w:rsidRPr="007219BC">
              <w:rPr>
                <w:rFonts w:ascii="Times New Roman" w:hAnsi="Times New Roman"/>
                <w:b w:val="0"/>
                <w:i/>
                <w:sz w:val="24"/>
                <w:lang w:val="en-GB"/>
              </w:rPr>
              <w:t xml:space="preserve"> rate under the national and BCBS methodologies (CNB)</w:t>
            </w:r>
          </w:p>
          <w:p w:rsidR="007219BC" w:rsidRPr="00CD7EA4" w:rsidRDefault="007219BC" w:rsidP="00574209">
            <w:pPr>
              <w:jc w:val="both"/>
              <w:rPr>
                <w:lang w:val="en-GB"/>
              </w:rPr>
            </w:pPr>
          </w:p>
        </w:tc>
      </w:tr>
    </w:tbl>
    <w:p w:rsidR="00127934" w:rsidRPr="002A2762" w:rsidRDefault="00127934" w:rsidP="00127934">
      <w:pPr>
        <w:pStyle w:val="NADPIS30"/>
        <w:spacing w:before="0" w:after="0"/>
        <w:rPr>
          <w:b w:val="0"/>
          <w:lang w:val="en-GB"/>
        </w:rPr>
      </w:pPr>
      <w:r w:rsidRPr="002A2762">
        <w:rPr>
          <w:b w:val="0"/>
          <w:lang w:val="en-GB"/>
        </w:rPr>
        <w:t xml:space="preserve">The BCBS/ESRB methodology can be summarised into four main steps (see the dark blue boxes in Figure 1). The first involves determining the deviation of the credit-to-GDP ratio from its long-term trend using the </w:t>
      </w:r>
      <w:proofErr w:type="spellStart"/>
      <w:r w:rsidRPr="002A2762">
        <w:rPr>
          <w:b w:val="0"/>
          <w:lang w:val="en-GB"/>
        </w:rPr>
        <w:t>Hodrick</w:t>
      </w:r>
      <w:proofErr w:type="spellEnd"/>
      <w:r w:rsidRPr="002A2762">
        <w:rPr>
          <w:b w:val="0"/>
          <w:lang w:val="en-GB"/>
        </w:rPr>
        <w:t xml:space="preserve">-Prescott (HP) filter and then using that gap to set a so-called benchmark buffer rate. In the BCBS/ESRB methodology, this rate serves as a guide for setting the </w:t>
      </w:r>
      <w:proofErr w:type="spellStart"/>
      <w:r w:rsidRPr="002A2762">
        <w:rPr>
          <w:b w:val="0"/>
          <w:lang w:val="en-GB"/>
        </w:rPr>
        <w:t>CCyB</w:t>
      </w:r>
      <w:proofErr w:type="spellEnd"/>
      <w:r w:rsidRPr="002A2762">
        <w:rPr>
          <w:b w:val="0"/>
          <w:lang w:val="en-GB"/>
        </w:rPr>
        <w:t xml:space="preserve"> rate.</w:t>
      </w:r>
      <w:r w:rsidRPr="002A2762">
        <w:rPr>
          <w:rStyle w:val="Znakapoznpodarou"/>
          <w:b w:val="0"/>
          <w:lang w:val="en-GB"/>
        </w:rPr>
        <w:footnoteReference w:id="3"/>
      </w:r>
      <w:r w:rsidRPr="002A2762">
        <w:rPr>
          <w:b w:val="0"/>
          <w:lang w:val="en-GB"/>
        </w:rPr>
        <w:t xml:space="preserve"> EU Member States are required publish a credit-to-GDP gap and a </w:t>
      </w:r>
      <w:r w:rsidRPr="002A2762">
        <w:rPr>
          <w:b w:val="0"/>
          <w:lang w:val="en-GB"/>
        </w:rPr>
        <w:lastRenderedPageBreak/>
        <w:t xml:space="preserve">benchmark buffer rate quarterly every time they set a </w:t>
      </w:r>
      <w:proofErr w:type="spellStart"/>
      <w:r w:rsidRPr="002A2762">
        <w:rPr>
          <w:b w:val="0"/>
          <w:lang w:val="en-GB"/>
        </w:rPr>
        <w:t>CCyB</w:t>
      </w:r>
      <w:proofErr w:type="spellEnd"/>
      <w:r w:rsidRPr="002A2762">
        <w:rPr>
          <w:b w:val="0"/>
          <w:lang w:val="en-GB"/>
        </w:rPr>
        <w:t xml:space="preserve"> rate. However, they are given discretion to calculate the </w:t>
      </w:r>
      <w:proofErr w:type="spellStart"/>
      <w:r w:rsidRPr="002A2762">
        <w:rPr>
          <w:b w:val="0"/>
          <w:lang w:val="en-GB"/>
        </w:rPr>
        <w:t>CCyB</w:t>
      </w:r>
      <w:proofErr w:type="spellEnd"/>
      <w:r w:rsidRPr="002A2762">
        <w:rPr>
          <w:b w:val="0"/>
          <w:lang w:val="en-GB"/>
        </w:rPr>
        <w:t xml:space="preserve"> guide rate using a different method not necessarily based on the BCBS methodology (see the light blue boxes in Figure 1).</w:t>
      </w:r>
    </w:p>
    <w:p w:rsidR="00127934" w:rsidRDefault="00127934" w:rsidP="002A2762">
      <w:pPr>
        <w:pStyle w:val="Hlavnitext"/>
        <w:spacing w:after="0"/>
        <w:rPr>
          <w:lang w:val="en-GB"/>
        </w:rPr>
      </w:pPr>
      <w:r w:rsidRPr="00CD7EA4">
        <w:rPr>
          <w:lang w:val="en-GB"/>
        </w:rPr>
        <w:t xml:space="preserve">This discretion is allowed because the original BCBS methodology would produce incorrect recommendations in many countries if applied mechanically (see, for example, </w:t>
      </w:r>
      <w:proofErr w:type="spellStart"/>
      <w:r w:rsidRPr="00CD7EA4">
        <w:rPr>
          <w:lang w:val="en-GB"/>
        </w:rPr>
        <w:t>Geršl</w:t>
      </w:r>
      <w:proofErr w:type="spellEnd"/>
      <w:r w:rsidRPr="00CD7EA4">
        <w:rPr>
          <w:lang w:val="en-GB"/>
        </w:rPr>
        <w:t xml:space="preserve"> and </w:t>
      </w:r>
      <w:proofErr w:type="spellStart"/>
      <w:r w:rsidRPr="00CD7EA4">
        <w:rPr>
          <w:lang w:val="en-GB"/>
        </w:rPr>
        <w:t>Seidler</w:t>
      </w:r>
      <w:proofErr w:type="spellEnd"/>
      <w:r w:rsidRPr="00CD7EA4">
        <w:rPr>
          <w:lang w:val="en-GB"/>
        </w:rPr>
        <w:t>, 2011). This is true for the Czech Republic, where the use of this methodology would have implied a significantly non-zero benchmark buffer rate as from 2011 Q2 and the maximum rate of 2.5% in 2013 Q2 (see the solid red line in Chart 1). During 2013, however, loans recorded only weak growth, property prices continued to fall in year-on-year terms (as they had done since 2009 Q1) and credit standards were tightened further. These conditions can hardly be interpreted as an expansion phase of the financial cycle.</w:t>
      </w:r>
    </w:p>
    <w:p w:rsidR="00915970" w:rsidRPr="00CD7EA4" w:rsidRDefault="009E28E0" w:rsidP="002A2762">
      <w:pPr>
        <w:pStyle w:val="Hlavnitext"/>
        <w:spacing w:after="0"/>
        <w:rPr>
          <w:lang w:val="en-GB"/>
        </w:rPr>
      </w:pPr>
      <w:r w:rsidRPr="00CD7EA4">
        <w:rPr>
          <w:lang w:val="en-GB"/>
        </w:rPr>
        <w:t>The main source</w:t>
      </w:r>
      <w:r w:rsidR="003C6553" w:rsidRPr="00CD7EA4">
        <w:rPr>
          <w:lang w:val="en-GB"/>
        </w:rPr>
        <w:t>s</w:t>
      </w:r>
      <w:r w:rsidRPr="00CD7EA4">
        <w:rPr>
          <w:lang w:val="en-GB"/>
        </w:rPr>
        <w:t xml:space="preserve"> of </w:t>
      </w:r>
      <w:r w:rsidR="003C6553" w:rsidRPr="00CD7EA4">
        <w:rPr>
          <w:lang w:val="en-GB"/>
        </w:rPr>
        <w:t xml:space="preserve">the misleading results of applying the BCBS/ESRB </w:t>
      </w:r>
      <w:r w:rsidR="0013682D" w:rsidRPr="00CD7EA4">
        <w:rPr>
          <w:lang w:val="en-GB"/>
        </w:rPr>
        <w:t xml:space="preserve">methodology </w:t>
      </w:r>
      <w:r w:rsidR="003C6553" w:rsidRPr="00CD7EA4">
        <w:rPr>
          <w:lang w:val="en-GB"/>
        </w:rPr>
        <w:t xml:space="preserve">in the Czech economy </w:t>
      </w:r>
      <w:r w:rsidR="008112DE" w:rsidRPr="00CD7EA4">
        <w:rPr>
          <w:lang w:val="en-GB"/>
        </w:rPr>
        <w:t>are</w:t>
      </w:r>
      <w:r w:rsidR="003C6553" w:rsidRPr="00CD7EA4">
        <w:rPr>
          <w:lang w:val="en-GB"/>
        </w:rPr>
        <w:t xml:space="preserve"> a structural break in the time series related to the </w:t>
      </w:r>
      <w:r w:rsidR="001157EB" w:rsidRPr="00CD7EA4">
        <w:rPr>
          <w:lang w:val="en-GB"/>
        </w:rPr>
        <w:t xml:space="preserve">1990s </w:t>
      </w:r>
      <w:r w:rsidR="003C6553" w:rsidRPr="00CD7EA4">
        <w:rPr>
          <w:lang w:val="en-GB"/>
        </w:rPr>
        <w:t xml:space="preserve">banking crisis, when bad loans were written off from banks’ balance sheets, and the existence of a specific trend typical of converging economies. The ESRB (2014) </w:t>
      </w:r>
      <w:r w:rsidR="0016733B" w:rsidRPr="00CD7EA4">
        <w:rPr>
          <w:lang w:val="en-GB"/>
        </w:rPr>
        <w:t xml:space="preserve">recommendation </w:t>
      </w:r>
      <w:r w:rsidR="003C6553" w:rsidRPr="00CD7EA4">
        <w:rPr>
          <w:lang w:val="en-GB"/>
        </w:rPr>
        <w:t>takes such cases into consideration and allows the gap calculation to be</w:t>
      </w:r>
      <w:r w:rsidR="0016733B" w:rsidRPr="00CD7EA4">
        <w:rPr>
          <w:lang w:val="en-GB"/>
        </w:rPr>
        <w:t xml:space="preserve"> </w:t>
      </w:r>
      <w:r w:rsidR="001157EB" w:rsidRPr="00CD7EA4">
        <w:rPr>
          <w:lang w:val="en-GB"/>
        </w:rPr>
        <w:t>tailored</w:t>
      </w:r>
      <w:r w:rsidR="0016733B" w:rsidRPr="00CD7EA4">
        <w:rPr>
          <w:lang w:val="en-GB"/>
        </w:rPr>
        <w:t xml:space="preserve"> </w:t>
      </w:r>
      <w:r w:rsidR="003C6553" w:rsidRPr="00CD7EA4">
        <w:rPr>
          <w:lang w:val="en-GB"/>
        </w:rPr>
        <w:t>partially to the specifics of the national economy. In</w:t>
      </w:r>
      <w:r w:rsidR="00196C3D" w:rsidRPr="00CD7EA4">
        <w:rPr>
          <w:lang w:val="en-GB"/>
        </w:rPr>
        <w:t xml:space="preserve"> line </w:t>
      </w:r>
      <w:r w:rsidR="003C6553" w:rsidRPr="00CD7EA4">
        <w:rPr>
          <w:lang w:val="en-GB"/>
        </w:rPr>
        <w:t>with this, the CNB calculates additional gaps</w:t>
      </w:r>
      <w:r w:rsidR="0016733B" w:rsidRPr="00CD7EA4">
        <w:rPr>
          <w:lang w:val="en-GB"/>
        </w:rPr>
        <w:t xml:space="preserve"> that may be more appropriate for </w:t>
      </w:r>
      <w:proofErr w:type="spellStart"/>
      <w:r w:rsidR="0016733B" w:rsidRPr="00CD7EA4">
        <w:rPr>
          <w:lang w:val="en-GB"/>
        </w:rPr>
        <w:t>macroprudential</w:t>
      </w:r>
      <w:proofErr w:type="spellEnd"/>
      <w:r w:rsidR="0016733B" w:rsidRPr="00CD7EA4">
        <w:rPr>
          <w:lang w:val="en-GB"/>
        </w:rPr>
        <w:t xml:space="preserve"> decision-making. One of these is </w:t>
      </w:r>
      <w:r w:rsidR="00925D8D" w:rsidRPr="00CD7EA4">
        <w:rPr>
          <w:lang w:val="en-GB"/>
        </w:rPr>
        <w:t>a credit-to-GDP gap based on a shorter time series</w:t>
      </w:r>
      <w:r w:rsidR="003164D6" w:rsidRPr="00CD7EA4">
        <w:rPr>
          <w:lang w:val="en-GB"/>
        </w:rPr>
        <w:t xml:space="preserve"> excluding the structural break</w:t>
      </w:r>
      <w:r w:rsidR="008112DE" w:rsidRPr="00CD7EA4">
        <w:rPr>
          <w:lang w:val="en-GB"/>
        </w:rPr>
        <w:t xml:space="preserve"> that occurred</w:t>
      </w:r>
      <w:r w:rsidR="003164D6" w:rsidRPr="00CD7EA4">
        <w:rPr>
          <w:lang w:val="en-GB"/>
        </w:rPr>
        <w:t xml:space="preserve"> in the 1990s. Another is</w:t>
      </w:r>
      <w:r w:rsidR="00DE367C" w:rsidRPr="00CD7EA4">
        <w:rPr>
          <w:lang w:val="en-GB"/>
        </w:rPr>
        <w:t xml:space="preserve"> based </w:t>
      </w:r>
      <w:r w:rsidR="003164D6" w:rsidRPr="00CD7EA4">
        <w:rPr>
          <w:lang w:val="en-GB"/>
        </w:rPr>
        <w:t xml:space="preserve">on </w:t>
      </w:r>
      <w:r w:rsidR="0013682D" w:rsidRPr="00CD7EA4">
        <w:rPr>
          <w:lang w:val="en-GB"/>
        </w:rPr>
        <w:t>the ratio of bank loans to GDP</w:t>
      </w:r>
      <w:r w:rsidR="00174030">
        <w:rPr>
          <w:lang w:val="en-GB"/>
        </w:rPr>
        <w:t xml:space="preserve"> and disregards other sources of credit financing (unlike </w:t>
      </w:r>
      <w:r w:rsidR="00174030" w:rsidRPr="00CD7EA4">
        <w:rPr>
          <w:lang w:val="en-GB"/>
        </w:rPr>
        <w:t>the BCBS/ESRB methodology</w:t>
      </w:r>
      <w:r w:rsidR="00174030">
        <w:rPr>
          <w:lang w:val="en-GB"/>
        </w:rPr>
        <w:t>)</w:t>
      </w:r>
      <w:r w:rsidR="0013682D" w:rsidRPr="00CD7EA4">
        <w:rPr>
          <w:lang w:val="en-GB"/>
        </w:rPr>
        <w:t xml:space="preserve">. Restricting the calculation to bank loans is logical </w:t>
      </w:r>
      <w:r w:rsidR="00174030">
        <w:rPr>
          <w:lang w:val="en-GB"/>
        </w:rPr>
        <w:t xml:space="preserve">since </w:t>
      </w:r>
      <w:r w:rsidR="0013682D" w:rsidRPr="00CD7EA4">
        <w:rPr>
          <w:lang w:val="en-GB"/>
        </w:rPr>
        <w:t xml:space="preserve">the </w:t>
      </w:r>
      <w:proofErr w:type="spellStart"/>
      <w:r w:rsidR="0013682D" w:rsidRPr="00CD7EA4">
        <w:rPr>
          <w:lang w:val="en-GB"/>
        </w:rPr>
        <w:t>CCyB</w:t>
      </w:r>
      <w:proofErr w:type="spellEnd"/>
      <w:r w:rsidR="0013682D" w:rsidRPr="00CD7EA4">
        <w:rPr>
          <w:lang w:val="en-GB"/>
        </w:rPr>
        <w:t xml:space="preserve"> is a tool targeted at the banking sector and at ensuring </w:t>
      </w:r>
      <w:r w:rsidR="001157EB" w:rsidRPr="00CD7EA4">
        <w:rPr>
          <w:lang w:val="en-GB"/>
        </w:rPr>
        <w:t xml:space="preserve">stable </w:t>
      </w:r>
      <w:r w:rsidR="0013682D" w:rsidRPr="00CD7EA4">
        <w:rPr>
          <w:lang w:val="en-GB"/>
        </w:rPr>
        <w:t>bank lending.</w:t>
      </w:r>
    </w:p>
    <w:p w:rsidR="0013682D" w:rsidRPr="00CD7EA4" w:rsidRDefault="0013682D" w:rsidP="002A2762">
      <w:pPr>
        <w:pStyle w:val="Hlavnitext"/>
        <w:spacing w:after="0"/>
        <w:rPr>
          <w:lang w:val="en-GB"/>
        </w:rPr>
      </w:pPr>
      <w:r w:rsidRPr="00CD7EA4">
        <w:rPr>
          <w:lang w:val="en-GB"/>
        </w:rPr>
        <w:t xml:space="preserve">In addition to gaps calculated using the HP filter, the </w:t>
      </w:r>
      <w:r w:rsidR="00B557E0">
        <w:rPr>
          <w:lang w:val="en-GB"/>
        </w:rPr>
        <w:t>authority can</w:t>
      </w:r>
      <w:r w:rsidRPr="00CD7EA4">
        <w:rPr>
          <w:lang w:val="en-GB"/>
        </w:rPr>
        <w:t xml:space="preserve"> </w:t>
      </w:r>
      <w:r w:rsidR="00B557E0">
        <w:rPr>
          <w:lang w:val="en-GB"/>
        </w:rPr>
        <w:t>apply</w:t>
      </w:r>
      <w:r w:rsidRPr="00CD7EA4">
        <w:rPr>
          <w:lang w:val="en-GB"/>
        </w:rPr>
        <w:t xml:space="preserve"> an alternative method for determining the </w:t>
      </w:r>
      <w:r w:rsidR="00174030">
        <w:rPr>
          <w:lang w:val="en-GB"/>
        </w:rPr>
        <w:t xml:space="preserve">deviation from the </w:t>
      </w:r>
      <w:r w:rsidRPr="00CD7EA4">
        <w:rPr>
          <w:lang w:val="en-GB"/>
        </w:rPr>
        <w:t xml:space="preserve">trend which eliminates </w:t>
      </w:r>
      <w:r w:rsidR="00047B0E">
        <w:rPr>
          <w:lang w:val="en-GB"/>
        </w:rPr>
        <w:t>some of the known</w:t>
      </w:r>
      <w:r w:rsidR="00047B0E" w:rsidRPr="00CD7EA4">
        <w:rPr>
          <w:lang w:val="en-GB"/>
        </w:rPr>
        <w:t xml:space="preserve"> </w:t>
      </w:r>
      <w:r w:rsidR="001157EB" w:rsidRPr="00CD7EA4">
        <w:rPr>
          <w:lang w:val="en-GB"/>
        </w:rPr>
        <w:t>issues with</w:t>
      </w:r>
      <w:r w:rsidRPr="00CD7EA4">
        <w:rPr>
          <w:lang w:val="en-GB"/>
        </w:rPr>
        <w:t xml:space="preserve"> the said filtration technique.</w:t>
      </w:r>
      <w:r w:rsidR="00C37345" w:rsidRPr="00CD7EA4">
        <w:rPr>
          <w:lang w:val="en-GB"/>
        </w:rPr>
        <w:t xml:space="preserve"> </w:t>
      </w:r>
      <w:r w:rsidR="00174030">
        <w:rPr>
          <w:lang w:val="en-GB"/>
        </w:rPr>
        <w:t>This</w:t>
      </w:r>
      <w:r w:rsidR="00C37345" w:rsidRPr="00CD7EA4">
        <w:rPr>
          <w:lang w:val="en-GB"/>
        </w:rPr>
        <w:t xml:space="preserve"> </w:t>
      </w:r>
      <w:r w:rsidR="00047B0E">
        <w:rPr>
          <w:lang w:val="en-GB"/>
        </w:rPr>
        <w:t>method</w:t>
      </w:r>
      <w:r w:rsidR="00047B0E" w:rsidRPr="00CD7EA4">
        <w:rPr>
          <w:lang w:val="en-GB"/>
        </w:rPr>
        <w:t xml:space="preserve"> </w:t>
      </w:r>
      <w:r w:rsidR="00C37345" w:rsidRPr="00CD7EA4">
        <w:rPr>
          <w:lang w:val="en-GB"/>
        </w:rPr>
        <w:t>is based on analysis of local extremes</w:t>
      </w:r>
      <w:r w:rsidR="00C37345" w:rsidRPr="00CD7EA4">
        <w:rPr>
          <w:rStyle w:val="Znakapoznpodarou"/>
          <w:lang w:val="en-GB"/>
        </w:rPr>
        <w:footnoteReference w:id="4"/>
      </w:r>
      <w:r w:rsidR="00C37345" w:rsidRPr="00CD7EA4">
        <w:rPr>
          <w:lang w:val="en-GB"/>
        </w:rPr>
        <w:t xml:space="preserve"> in the time series</w:t>
      </w:r>
      <w:r w:rsidR="001157EB" w:rsidRPr="00CD7EA4">
        <w:rPr>
          <w:lang w:val="en-GB"/>
        </w:rPr>
        <w:t>. This</w:t>
      </w:r>
      <w:r w:rsidR="00C37345" w:rsidRPr="00CD7EA4">
        <w:rPr>
          <w:lang w:val="en-GB"/>
        </w:rPr>
        <w:t xml:space="preserve"> eliminates the problem of the removal of old loans from banks’ balance sheets after the late-1990s crisis and (unlike the HP filter) does not lead to changes in the trend estimate</w:t>
      </w:r>
      <w:r w:rsidR="00567CEA" w:rsidRPr="00CD7EA4">
        <w:rPr>
          <w:lang w:val="en-GB"/>
        </w:rPr>
        <w:t xml:space="preserve"> as new observations </w:t>
      </w:r>
      <w:r w:rsidR="001157EB" w:rsidRPr="00CD7EA4">
        <w:rPr>
          <w:lang w:val="en-GB"/>
        </w:rPr>
        <w:t>come in</w:t>
      </w:r>
      <w:r w:rsidR="00567CEA" w:rsidRPr="00CD7EA4">
        <w:rPr>
          <w:lang w:val="en-GB"/>
        </w:rPr>
        <w:t>.</w:t>
      </w:r>
      <w:r w:rsidR="00917C3F" w:rsidRPr="00CD7EA4">
        <w:rPr>
          <w:lang w:val="en-GB"/>
        </w:rPr>
        <w:t xml:space="preserve"> The corresponding gap (referred to as the expansionary credit</w:t>
      </w:r>
      <w:r w:rsidR="00357594" w:rsidRPr="00CD7EA4">
        <w:rPr>
          <w:lang w:val="en-GB"/>
        </w:rPr>
        <w:t xml:space="preserve"> gap</w:t>
      </w:r>
      <w:r w:rsidR="00917C3F" w:rsidRPr="00CD7EA4">
        <w:rPr>
          <w:lang w:val="en-GB"/>
        </w:rPr>
        <w:t>) is very different from the original signal and much closer to the true course of the financial cycle (see the solid blue line in Chart </w:t>
      </w:r>
      <w:r w:rsidR="00861604">
        <w:rPr>
          <w:lang w:val="en-GB"/>
        </w:rPr>
        <w:t>1</w:t>
      </w:r>
      <w:r w:rsidR="00917C3F" w:rsidRPr="00CD7EA4">
        <w:rPr>
          <w:lang w:val="en-GB"/>
        </w:rPr>
        <w:t>).</w:t>
      </w:r>
    </w:p>
    <w:p w:rsidR="007A4D16" w:rsidRDefault="00917C3F" w:rsidP="002A2762">
      <w:pPr>
        <w:pStyle w:val="Hlavnitext"/>
        <w:spacing w:after="0"/>
        <w:rPr>
          <w:lang w:val="en-GB"/>
        </w:rPr>
      </w:pPr>
      <w:r w:rsidRPr="00CD7EA4">
        <w:rPr>
          <w:lang w:val="en-GB"/>
        </w:rPr>
        <w:t xml:space="preserve">Regardless of </w:t>
      </w:r>
      <w:r w:rsidR="001157EB" w:rsidRPr="00CD7EA4">
        <w:rPr>
          <w:lang w:val="en-GB"/>
        </w:rPr>
        <w:t xml:space="preserve">the </w:t>
      </w:r>
      <w:r w:rsidRPr="00CD7EA4">
        <w:rPr>
          <w:lang w:val="en-GB"/>
        </w:rPr>
        <w:t xml:space="preserve">estimation technique, however, the </w:t>
      </w:r>
      <w:r w:rsidR="008112DE" w:rsidRPr="00CD7EA4">
        <w:rPr>
          <w:lang w:val="en-GB"/>
        </w:rPr>
        <w:t xml:space="preserve">credit-to-GDP </w:t>
      </w:r>
      <w:r w:rsidRPr="00CD7EA4">
        <w:rPr>
          <w:lang w:val="en-GB"/>
        </w:rPr>
        <w:t>gap is</w:t>
      </w:r>
      <w:r w:rsidR="00BE7865" w:rsidRPr="00CD7EA4">
        <w:rPr>
          <w:lang w:val="en-GB"/>
        </w:rPr>
        <w:t xml:space="preserve"> </w:t>
      </w:r>
      <w:r w:rsidR="008112DE" w:rsidRPr="00CD7EA4">
        <w:rPr>
          <w:lang w:val="en-GB"/>
        </w:rPr>
        <w:t>just</w:t>
      </w:r>
      <w:r w:rsidR="00BE7865" w:rsidRPr="00CD7EA4">
        <w:rPr>
          <w:lang w:val="en-GB"/>
        </w:rPr>
        <w:t xml:space="preserve"> an initial </w:t>
      </w:r>
      <w:r w:rsidR="006B5635" w:rsidRPr="00CD7EA4">
        <w:rPr>
          <w:lang w:val="en-GB"/>
        </w:rPr>
        <w:t>guide to</w:t>
      </w:r>
      <w:r w:rsidR="00BE7865" w:rsidRPr="00CD7EA4">
        <w:rPr>
          <w:lang w:val="en-GB"/>
        </w:rPr>
        <w:t xml:space="preserve"> the position of the economy in the financial cycle. Th</w:t>
      </w:r>
      <w:r w:rsidR="008112DE" w:rsidRPr="00CD7EA4">
        <w:rPr>
          <w:lang w:val="en-GB"/>
        </w:rPr>
        <w:t>e</w:t>
      </w:r>
      <w:r w:rsidR="00BE7865" w:rsidRPr="00CD7EA4">
        <w:rPr>
          <w:lang w:val="en-GB"/>
        </w:rPr>
        <w:t xml:space="preserve"> </w:t>
      </w:r>
      <w:r w:rsidR="008112DE" w:rsidRPr="00CD7EA4">
        <w:rPr>
          <w:lang w:val="en-GB"/>
        </w:rPr>
        <w:t xml:space="preserve">credit-to-GDP </w:t>
      </w:r>
      <w:r w:rsidR="00BE7865" w:rsidRPr="00CD7EA4">
        <w:rPr>
          <w:lang w:val="en-GB"/>
        </w:rPr>
        <w:t>ratio is only a very rough measure of leverage in the economy, on the basis of which it is hard to identify</w:t>
      </w:r>
      <w:r w:rsidR="00167156" w:rsidRPr="00CD7EA4">
        <w:rPr>
          <w:lang w:val="en-GB"/>
        </w:rPr>
        <w:t xml:space="preserve"> turning points between phases of the financial cycle in </w:t>
      </w:r>
      <w:r w:rsidR="00AE2F6A">
        <w:rPr>
          <w:lang w:val="en-GB"/>
        </w:rPr>
        <w:t xml:space="preserve">a </w:t>
      </w:r>
      <w:r w:rsidR="00047B0E">
        <w:rPr>
          <w:lang w:val="en-GB"/>
        </w:rPr>
        <w:t>timely manner</w:t>
      </w:r>
      <w:r w:rsidR="00167156" w:rsidRPr="00CD7EA4">
        <w:rPr>
          <w:lang w:val="en-GB"/>
        </w:rPr>
        <w:t xml:space="preserve"> (for more details, see Frait and Komárková, 2012, </w:t>
      </w:r>
      <w:r w:rsidR="003B4142" w:rsidRPr="00CD7EA4">
        <w:rPr>
          <w:lang w:val="en-GB"/>
        </w:rPr>
        <w:t>pp. </w:t>
      </w:r>
      <w:r w:rsidR="00167156" w:rsidRPr="00CD7EA4">
        <w:rPr>
          <w:lang w:val="en-GB"/>
        </w:rPr>
        <w:t xml:space="preserve">14 and 22). </w:t>
      </w:r>
    </w:p>
    <w:p w:rsidR="002A2762" w:rsidRPr="00CD7EA4" w:rsidRDefault="002A2762" w:rsidP="002A2762">
      <w:pPr>
        <w:pStyle w:val="Hlavnitext"/>
        <w:spacing w:after="0"/>
        <w:rPr>
          <w:b/>
          <w:lang w:val="en-GB"/>
        </w:rPr>
      </w:pPr>
    </w:p>
    <w:p w:rsidR="00E34491" w:rsidRPr="00CD7EA4" w:rsidRDefault="00333D6E" w:rsidP="007219BC">
      <w:pPr>
        <w:pStyle w:val="NADPIS10"/>
        <w:spacing w:after="0"/>
        <w:rPr>
          <w:highlight w:val="yellow"/>
          <w:lang w:val="en-GB"/>
        </w:rPr>
      </w:pPr>
      <w:r>
        <w:rPr>
          <w:lang w:val="en-GB"/>
        </w:rPr>
        <w:t xml:space="preserve">3 </w:t>
      </w:r>
      <w:r w:rsidR="002A2762">
        <w:rPr>
          <w:lang w:val="en-GB"/>
        </w:rPr>
        <w:t>Key</w:t>
      </w:r>
      <w:r w:rsidR="00167156" w:rsidRPr="00CD7EA4">
        <w:rPr>
          <w:lang w:val="en-GB"/>
        </w:rPr>
        <w:t xml:space="preserve"> indicators </w:t>
      </w:r>
    </w:p>
    <w:p w:rsidR="005C45A9" w:rsidRPr="00CD7EA4" w:rsidRDefault="005C45A9" w:rsidP="002A2762">
      <w:pPr>
        <w:pStyle w:val="Hlavnitext"/>
        <w:spacing w:after="0"/>
        <w:rPr>
          <w:lang w:val="en-GB"/>
        </w:rPr>
      </w:pPr>
      <w:r w:rsidRPr="00CD7EA4">
        <w:rPr>
          <w:lang w:val="en-GB"/>
        </w:rPr>
        <w:t xml:space="preserve">For the reasons given in the previous section, the </w:t>
      </w:r>
      <w:r w:rsidR="004D0EE0" w:rsidRPr="00CD7EA4">
        <w:rPr>
          <w:lang w:val="en-GB"/>
        </w:rPr>
        <w:t xml:space="preserve">recommendation of the </w:t>
      </w:r>
      <w:r w:rsidRPr="00CD7EA4">
        <w:rPr>
          <w:lang w:val="en-GB"/>
        </w:rPr>
        <w:t>ESRB (2014) requires national authorities to take into account other variables indicat</w:t>
      </w:r>
      <w:r w:rsidR="004D0EE0" w:rsidRPr="00CD7EA4">
        <w:rPr>
          <w:lang w:val="en-GB"/>
        </w:rPr>
        <w:t>ing</w:t>
      </w:r>
      <w:r w:rsidRPr="00CD7EA4">
        <w:rPr>
          <w:lang w:val="en-GB"/>
        </w:rPr>
        <w:t xml:space="preserve"> excessive credit growth and the build-up of system-wide risk when setting the </w:t>
      </w:r>
      <w:proofErr w:type="spellStart"/>
      <w:r w:rsidRPr="00CD7EA4">
        <w:rPr>
          <w:lang w:val="en-GB"/>
        </w:rPr>
        <w:t>CCyB</w:t>
      </w:r>
      <w:proofErr w:type="spellEnd"/>
      <w:r w:rsidRPr="00CD7EA4">
        <w:rPr>
          <w:lang w:val="en-GB"/>
        </w:rPr>
        <w:t xml:space="preserve"> rate. To this end, the CNB uses the </w:t>
      </w:r>
      <w:r w:rsidR="00B13678" w:rsidRPr="00CD7EA4">
        <w:rPr>
          <w:lang w:val="en-GB"/>
        </w:rPr>
        <w:t xml:space="preserve">following </w:t>
      </w:r>
      <w:r w:rsidRPr="00CD7EA4">
        <w:rPr>
          <w:lang w:val="en-GB"/>
        </w:rPr>
        <w:t>set of indicators</w:t>
      </w:r>
      <w:r w:rsidR="00B13678" w:rsidRPr="00CD7EA4">
        <w:rPr>
          <w:lang w:val="en-GB"/>
        </w:rPr>
        <w:t>, which are assessed in section 4.2 of this Report</w:t>
      </w:r>
      <w:r w:rsidR="00653D5B" w:rsidRPr="00CD7EA4">
        <w:rPr>
          <w:lang w:val="en-GB"/>
        </w:rPr>
        <w:t>.</w:t>
      </w:r>
    </w:p>
    <w:p w:rsidR="003B4C22" w:rsidRPr="00CD7EA4" w:rsidRDefault="00406C96" w:rsidP="002A2762">
      <w:pPr>
        <w:pStyle w:val="Hlavnitext"/>
        <w:spacing w:after="0"/>
        <w:rPr>
          <w:lang w:val="en-GB"/>
        </w:rPr>
      </w:pPr>
      <w:r w:rsidRPr="00CD7EA4">
        <w:rPr>
          <w:lang w:val="en-GB"/>
        </w:rPr>
        <w:t>The</w:t>
      </w:r>
      <w:r w:rsidR="00653D5B" w:rsidRPr="00CD7EA4">
        <w:rPr>
          <w:lang w:val="en-GB"/>
        </w:rPr>
        <w:t xml:space="preserve"> </w:t>
      </w:r>
      <w:r w:rsidR="008E349D" w:rsidRPr="00CD7EA4">
        <w:rPr>
          <w:lang w:val="en-GB"/>
        </w:rPr>
        <w:t>composite</w:t>
      </w:r>
      <w:r w:rsidR="00E8520E" w:rsidRPr="00CD7EA4">
        <w:rPr>
          <w:lang w:val="en-GB"/>
        </w:rPr>
        <w:t xml:space="preserve"> </w:t>
      </w:r>
      <w:r w:rsidR="00653D5B" w:rsidRPr="00CD7EA4">
        <w:rPr>
          <w:lang w:val="en-GB"/>
        </w:rPr>
        <w:t>financial cycle indicator (FCI, Plašil et al., 2016) plays an important role in determining the position of the economy in the financial cycle. The FCI was</w:t>
      </w:r>
      <w:r w:rsidR="000010A8" w:rsidRPr="00CD7EA4">
        <w:rPr>
          <w:lang w:val="en-GB"/>
        </w:rPr>
        <w:t xml:space="preserve"> created </w:t>
      </w:r>
      <w:r w:rsidR="002C4F01" w:rsidRPr="00CD7EA4">
        <w:rPr>
          <w:lang w:val="en-GB"/>
        </w:rPr>
        <w:t xml:space="preserve">in order </w:t>
      </w:r>
      <w:r w:rsidR="00653D5B" w:rsidRPr="00CD7EA4">
        <w:rPr>
          <w:lang w:val="en-GB"/>
        </w:rPr>
        <w:lastRenderedPageBreak/>
        <w:t>to measure the</w:t>
      </w:r>
      <w:r w:rsidR="002C4F01" w:rsidRPr="00CD7EA4">
        <w:rPr>
          <w:lang w:val="en-GB"/>
        </w:rPr>
        <w:t xml:space="preserve"> accumulation </w:t>
      </w:r>
      <w:r w:rsidR="00653D5B" w:rsidRPr="00CD7EA4">
        <w:rPr>
          <w:lang w:val="en-GB"/>
        </w:rPr>
        <w:t xml:space="preserve">of risks in the financial sector and to provide </w:t>
      </w:r>
      <w:r w:rsidR="002C4F01" w:rsidRPr="00CD7EA4">
        <w:rPr>
          <w:lang w:val="en-GB"/>
        </w:rPr>
        <w:t xml:space="preserve">an </w:t>
      </w:r>
      <w:r w:rsidR="00653D5B" w:rsidRPr="00CD7EA4">
        <w:rPr>
          <w:lang w:val="en-GB"/>
        </w:rPr>
        <w:t>early warning</w:t>
      </w:r>
      <w:r w:rsidR="007F288A" w:rsidRPr="00CD7EA4">
        <w:rPr>
          <w:lang w:val="en-GB"/>
        </w:rPr>
        <w:t xml:space="preserve"> </w:t>
      </w:r>
      <w:r w:rsidR="00653D5B" w:rsidRPr="00CD7EA4">
        <w:rPr>
          <w:lang w:val="en-GB"/>
        </w:rPr>
        <w:t>(</w:t>
      </w:r>
      <w:r w:rsidR="000010A8" w:rsidRPr="00CD7EA4">
        <w:rPr>
          <w:lang w:val="en-GB"/>
        </w:rPr>
        <w:t>6–8 </w:t>
      </w:r>
      <w:r w:rsidR="00653D5B" w:rsidRPr="00CD7EA4">
        <w:rPr>
          <w:lang w:val="en-GB"/>
        </w:rPr>
        <w:t>quarters ahead)</w:t>
      </w:r>
      <w:r w:rsidR="007F288A" w:rsidRPr="00CD7EA4">
        <w:rPr>
          <w:lang w:val="en-GB"/>
        </w:rPr>
        <w:t xml:space="preserve"> </w:t>
      </w:r>
      <w:r w:rsidR="00C64D67">
        <w:rPr>
          <w:lang w:val="en-GB"/>
        </w:rPr>
        <w:t xml:space="preserve">signal </w:t>
      </w:r>
      <w:r w:rsidR="007F288A" w:rsidRPr="00CD7EA4">
        <w:rPr>
          <w:lang w:val="en-GB"/>
        </w:rPr>
        <w:t>of the potential materialisation of such risks</w:t>
      </w:r>
      <w:r w:rsidR="00773E80" w:rsidRPr="00CD7EA4">
        <w:rPr>
          <w:lang w:val="en-GB"/>
        </w:rPr>
        <w:t xml:space="preserve"> (see Chart 2).</w:t>
      </w:r>
      <w:r w:rsidR="006010B1" w:rsidRPr="00CD7EA4">
        <w:rPr>
          <w:lang w:val="en-GB"/>
        </w:rPr>
        <w:t xml:space="preserve"> </w:t>
      </w:r>
      <w:r w:rsidR="00C64D67">
        <w:rPr>
          <w:lang w:val="en-GB"/>
        </w:rPr>
        <w:t>The FCI includes i</w:t>
      </w:r>
      <w:r w:rsidR="006010B1" w:rsidRPr="00CD7EA4">
        <w:rPr>
          <w:lang w:val="en-GB"/>
        </w:rPr>
        <w:t xml:space="preserve">ndicators </w:t>
      </w:r>
      <w:r w:rsidR="000010A8" w:rsidRPr="00CD7EA4">
        <w:rPr>
          <w:lang w:val="en-GB"/>
        </w:rPr>
        <w:t>covering a wide range of demand and supply factors which, according to</w:t>
      </w:r>
      <w:r w:rsidR="00C255D8" w:rsidRPr="00CD7EA4">
        <w:rPr>
          <w:lang w:val="en-GB"/>
        </w:rPr>
        <w:t xml:space="preserve"> earlier </w:t>
      </w:r>
      <w:r w:rsidR="000010A8" w:rsidRPr="00CD7EA4">
        <w:rPr>
          <w:lang w:val="en-GB"/>
        </w:rPr>
        <w:t>studies and expert judgement, well characterise the</w:t>
      </w:r>
      <w:r w:rsidR="00C255D8" w:rsidRPr="00CD7EA4">
        <w:rPr>
          <w:lang w:val="en-GB"/>
        </w:rPr>
        <w:t xml:space="preserve"> cyclical swings </w:t>
      </w:r>
      <w:r w:rsidR="000010A8" w:rsidRPr="00CD7EA4">
        <w:rPr>
          <w:lang w:val="en-GB"/>
        </w:rPr>
        <w:t>in financial risk perceptions</w:t>
      </w:r>
      <w:r w:rsidR="00C64D67">
        <w:rPr>
          <w:lang w:val="en-GB"/>
        </w:rPr>
        <w:t>.</w:t>
      </w:r>
      <w:r w:rsidR="000010A8" w:rsidRPr="00CD7EA4">
        <w:rPr>
          <w:rStyle w:val="Znakapoznpodarou"/>
          <w:lang w:val="en-GB"/>
        </w:rPr>
        <w:footnoteReference w:id="5"/>
      </w:r>
      <w:r w:rsidR="000010A8" w:rsidRPr="00CD7EA4">
        <w:rPr>
          <w:lang w:val="en-GB"/>
        </w:rPr>
        <w:t xml:space="preserve"> Decomposing the </w:t>
      </w:r>
      <w:r w:rsidR="006010B1" w:rsidRPr="00CD7EA4">
        <w:rPr>
          <w:lang w:val="en-GB"/>
        </w:rPr>
        <w:t xml:space="preserve">FCI </w:t>
      </w:r>
      <w:r w:rsidR="000010A8" w:rsidRPr="00CD7EA4">
        <w:rPr>
          <w:lang w:val="en-GB"/>
        </w:rPr>
        <w:t xml:space="preserve">into </w:t>
      </w:r>
      <w:r w:rsidR="00C64D67">
        <w:rPr>
          <w:lang w:val="en-GB"/>
        </w:rPr>
        <w:t xml:space="preserve">individual </w:t>
      </w:r>
      <w:r w:rsidR="000010A8" w:rsidRPr="00CD7EA4">
        <w:rPr>
          <w:lang w:val="en-GB"/>
        </w:rPr>
        <w:t>factors</w:t>
      </w:r>
      <w:r w:rsidR="006010B1" w:rsidRPr="00CD7EA4">
        <w:rPr>
          <w:lang w:val="en-GB"/>
        </w:rPr>
        <w:t xml:space="preserve"> allows </w:t>
      </w:r>
      <w:r w:rsidRPr="00CD7EA4">
        <w:rPr>
          <w:lang w:val="en-GB"/>
        </w:rPr>
        <w:t>the CNB</w:t>
      </w:r>
      <w:r w:rsidR="006010B1" w:rsidRPr="00CD7EA4">
        <w:rPr>
          <w:lang w:val="en-GB"/>
        </w:rPr>
        <w:t xml:space="preserve"> to identify the determinants of the current evolution of the </w:t>
      </w:r>
      <w:r w:rsidR="008E349D" w:rsidRPr="00CD7EA4">
        <w:rPr>
          <w:lang w:val="en-GB"/>
        </w:rPr>
        <w:t>composite</w:t>
      </w:r>
      <w:r w:rsidR="006010B1" w:rsidRPr="00CD7EA4">
        <w:rPr>
          <w:lang w:val="en-GB"/>
        </w:rPr>
        <w:t xml:space="preserve"> indicator and</w:t>
      </w:r>
      <w:r w:rsidRPr="00CD7EA4">
        <w:rPr>
          <w:lang w:val="en-GB"/>
        </w:rPr>
        <w:t>, where relevant,</w:t>
      </w:r>
      <w:r w:rsidR="006010B1" w:rsidRPr="00CD7EA4">
        <w:rPr>
          <w:lang w:val="en-GB"/>
        </w:rPr>
        <w:t xml:space="preserve"> helps </w:t>
      </w:r>
      <w:r w:rsidRPr="00CD7EA4">
        <w:rPr>
          <w:lang w:val="en-GB"/>
        </w:rPr>
        <w:t>it</w:t>
      </w:r>
      <w:r w:rsidR="006010B1" w:rsidRPr="00CD7EA4">
        <w:rPr>
          <w:lang w:val="en-GB"/>
        </w:rPr>
        <w:t xml:space="preserve"> choos</w:t>
      </w:r>
      <w:r w:rsidRPr="00CD7EA4">
        <w:rPr>
          <w:lang w:val="en-GB"/>
        </w:rPr>
        <w:t>e</w:t>
      </w:r>
      <w:r w:rsidR="006010B1" w:rsidRPr="00CD7EA4">
        <w:rPr>
          <w:lang w:val="en-GB"/>
        </w:rPr>
        <w:t xml:space="preserve"> the optimal </w:t>
      </w:r>
      <w:proofErr w:type="spellStart"/>
      <w:r w:rsidR="006010B1" w:rsidRPr="00CD7EA4">
        <w:rPr>
          <w:lang w:val="en-GB"/>
        </w:rPr>
        <w:t>macroprudential</w:t>
      </w:r>
      <w:proofErr w:type="spellEnd"/>
      <w:r w:rsidR="006010B1" w:rsidRPr="00CD7EA4">
        <w:rPr>
          <w:lang w:val="en-GB"/>
        </w:rPr>
        <w:t xml:space="preserve"> response</w:t>
      </w:r>
      <w:r w:rsidR="00C86FC0" w:rsidRPr="00CD7EA4">
        <w:rPr>
          <w:lang w:val="en-GB"/>
        </w:rPr>
        <w:t>.</w:t>
      </w:r>
    </w:p>
    <w:p w:rsidR="00FE55CD" w:rsidRDefault="006010B1" w:rsidP="002A2762">
      <w:pPr>
        <w:pStyle w:val="Hlavnitext"/>
        <w:spacing w:after="0"/>
        <w:rPr>
          <w:lang w:val="en-GB"/>
        </w:rPr>
      </w:pPr>
      <w:r w:rsidRPr="00CD7EA4">
        <w:rPr>
          <w:lang w:val="en-GB"/>
        </w:rPr>
        <w:t>When</w:t>
      </w:r>
      <w:r w:rsidR="00030365" w:rsidRPr="00CD7EA4">
        <w:rPr>
          <w:lang w:val="en-GB"/>
        </w:rPr>
        <w:t xml:space="preserve"> </w:t>
      </w:r>
      <w:r w:rsidR="009D6A95" w:rsidRPr="00CD7EA4">
        <w:rPr>
          <w:lang w:val="en-GB"/>
        </w:rPr>
        <w:t>determining the position in the financial cycle, the CNB also pays increased attention to the dynamics of bank loans</w:t>
      </w:r>
      <w:r w:rsidR="00A05E24" w:rsidRPr="00CD7EA4">
        <w:rPr>
          <w:lang w:val="en-GB"/>
        </w:rPr>
        <w:t xml:space="preserve"> with respect to </w:t>
      </w:r>
      <w:r w:rsidR="00352330" w:rsidRPr="00CD7EA4">
        <w:rPr>
          <w:lang w:val="en-GB"/>
        </w:rPr>
        <w:t>both</w:t>
      </w:r>
      <w:r w:rsidR="00A05E24" w:rsidRPr="00CD7EA4">
        <w:rPr>
          <w:lang w:val="en-GB"/>
        </w:rPr>
        <w:t xml:space="preserve"> </w:t>
      </w:r>
      <w:r w:rsidR="00AE2F6A">
        <w:rPr>
          <w:lang w:val="en-GB"/>
        </w:rPr>
        <w:t xml:space="preserve">the </w:t>
      </w:r>
      <w:r w:rsidR="00C64D67">
        <w:rPr>
          <w:lang w:val="en-GB"/>
        </w:rPr>
        <w:t>stock (</w:t>
      </w:r>
      <w:r w:rsidR="00A05E24" w:rsidRPr="00CD7EA4">
        <w:rPr>
          <w:lang w:val="en-GB"/>
        </w:rPr>
        <w:t>overall amount</w:t>
      </w:r>
      <w:r w:rsidR="00C64D67">
        <w:rPr>
          <w:lang w:val="en-GB"/>
        </w:rPr>
        <w:t>s)</w:t>
      </w:r>
      <w:r w:rsidR="00A05E24" w:rsidRPr="00CD7EA4">
        <w:rPr>
          <w:lang w:val="en-GB"/>
        </w:rPr>
        <w:t xml:space="preserve"> and </w:t>
      </w:r>
      <w:r w:rsidR="00C64D67">
        <w:rPr>
          <w:lang w:val="en-GB"/>
        </w:rPr>
        <w:t>flows (</w:t>
      </w:r>
      <w:r w:rsidR="00A05E24" w:rsidRPr="00CD7EA4">
        <w:rPr>
          <w:lang w:val="en-GB"/>
        </w:rPr>
        <w:t xml:space="preserve">new </w:t>
      </w:r>
      <w:r w:rsidR="00352330" w:rsidRPr="00CD7EA4">
        <w:rPr>
          <w:lang w:val="en-GB"/>
        </w:rPr>
        <w:t>business</w:t>
      </w:r>
      <w:r w:rsidR="00C64D67">
        <w:rPr>
          <w:lang w:val="en-GB"/>
        </w:rPr>
        <w:t>) of credit</w:t>
      </w:r>
      <w:r w:rsidR="00A05E24" w:rsidRPr="00CD7EA4">
        <w:rPr>
          <w:lang w:val="en-GB"/>
        </w:rPr>
        <w:t xml:space="preserve">. The dynamics of the stock of loans provide information on the evolution of overall leverage, while the dynamics of new loans indicate current tendencies in risk-taking by households and non-financial corporations. </w:t>
      </w:r>
    </w:p>
    <w:p w:rsidR="00861604" w:rsidRPr="00CD7EA4" w:rsidRDefault="00861604" w:rsidP="00632179">
      <w:pPr>
        <w:pStyle w:val="Hlavnitext"/>
        <w:spacing w:after="0"/>
        <w:rPr>
          <w:lang w:val="en-GB"/>
        </w:rPr>
      </w:pPr>
      <w:r w:rsidRPr="00CD7EA4">
        <w:rPr>
          <w:lang w:val="en-GB"/>
        </w:rPr>
        <w:t xml:space="preserve">In addition to credit dynamics, the CNB focuses on other areas linked </w:t>
      </w:r>
      <w:r>
        <w:rPr>
          <w:lang w:val="en-GB"/>
        </w:rPr>
        <w:t xml:space="preserve">closely </w:t>
      </w:r>
      <w:r w:rsidRPr="00CD7EA4">
        <w:rPr>
          <w:lang w:val="en-GB"/>
        </w:rPr>
        <w:t>with lending, most notably the property market and</w:t>
      </w:r>
      <w:r>
        <w:rPr>
          <w:lang w:val="en-GB"/>
        </w:rPr>
        <w:t xml:space="preserve"> the potential for </w:t>
      </w:r>
      <w:r w:rsidRPr="00CD7EA4">
        <w:rPr>
          <w:lang w:val="en-GB"/>
        </w:rPr>
        <w:t xml:space="preserve">a spiral between property price growth and growth in house purchase loans. Rising property prices can give the impression that the financial benefits of buying a house are increasing and can thus motivate other households to buy property financed by mortgage loans. Besides the </w:t>
      </w:r>
      <w:r>
        <w:rPr>
          <w:lang w:val="en-GB"/>
        </w:rPr>
        <w:t>annual</w:t>
      </w:r>
      <w:r w:rsidRPr="00CD7EA4">
        <w:rPr>
          <w:lang w:val="en-GB"/>
        </w:rPr>
        <w:t xml:space="preserve"> rate of growth of property prices, the CNB tracks measures of overvaluation and sustainability relative to economic fundamentals (e.g. the price-to-annual wage ratio, the price-to-income ratio and other indicators presented in more detail in Hlaváček and Hejlová, 2015).</w:t>
      </w:r>
      <w:r>
        <w:rPr>
          <w:lang w:val="en-GB"/>
        </w:rPr>
        <w:t xml:space="preserve"> </w:t>
      </w:r>
    </w:p>
    <w:tbl>
      <w:tblPr>
        <w:tblpPr w:leftFromText="141" w:rightFromText="141" w:vertAnchor="text" w:horzAnchor="margin" w:tblpX="74" w:tblpY="74"/>
        <w:tblW w:w="9026" w:type="dxa"/>
        <w:tblLayout w:type="fixed"/>
        <w:tblCellMar>
          <w:top w:w="28" w:type="dxa"/>
        </w:tblCellMar>
        <w:tblLook w:val="01E0" w:firstRow="1" w:lastRow="1" w:firstColumn="1" w:lastColumn="1" w:noHBand="0" w:noVBand="0"/>
      </w:tblPr>
      <w:tblGrid>
        <w:gridCol w:w="8755"/>
        <w:gridCol w:w="271"/>
      </w:tblGrid>
      <w:tr w:rsidR="00780B11" w:rsidRPr="00CD7EA4" w:rsidTr="006B5A4A">
        <w:trPr>
          <w:cantSplit/>
          <w:trHeight w:val="4643"/>
        </w:trPr>
        <w:tc>
          <w:tcPr>
            <w:tcW w:w="8755" w:type="dxa"/>
          </w:tcPr>
          <w:p w:rsidR="00780B11" w:rsidRDefault="00721D47" w:rsidP="00560947">
            <w:pPr>
              <w:rPr>
                <w:rFonts w:ascii="Arial" w:hAnsi="Arial" w:cs="Arial"/>
                <w:sz w:val="18"/>
                <w:szCs w:val="18"/>
                <w:lang w:val="en-GB"/>
              </w:rPr>
            </w:pPr>
            <w:r>
              <w:rPr>
                <w:rFonts w:ascii="Arial" w:hAnsi="Arial" w:cs="Arial"/>
                <w:noProof/>
                <w:sz w:val="18"/>
                <w:szCs w:val="18"/>
              </w:rPr>
              <w:drawing>
                <wp:inline distT="0" distB="0" distL="0" distR="0" wp14:anchorId="2588543F" wp14:editId="46A6BBF5">
                  <wp:extent cx="3313785" cy="2814565"/>
                  <wp:effectExtent l="0" t="0" r="1270" b="508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2083" cy="2813119"/>
                          </a:xfrm>
                          <a:prstGeom prst="rect">
                            <a:avLst/>
                          </a:prstGeom>
                          <a:noFill/>
                          <a:ln>
                            <a:noFill/>
                          </a:ln>
                        </pic:spPr>
                      </pic:pic>
                    </a:graphicData>
                  </a:graphic>
                </wp:inline>
              </w:drawing>
            </w:r>
          </w:p>
          <w:p w:rsidR="005F7E72" w:rsidRPr="005F7E72" w:rsidRDefault="005F7E72" w:rsidP="005F7E72">
            <w:pPr>
              <w:pStyle w:val="grafnazev0"/>
              <w:rPr>
                <w:rFonts w:ascii="Times New Roman" w:hAnsi="Times New Roman"/>
                <w:b w:val="0"/>
                <w:i/>
                <w:sz w:val="24"/>
                <w:lang w:val="en-GB"/>
              </w:rPr>
            </w:pPr>
            <w:r w:rsidRPr="005F7E72">
              <w:rPr>
                <w:rFonts w:ascii="Times New Roman" w:hAnsi="Times New Roman"/>
                <w:b w:val="0"/>
                <w:i/>
                <w:sz w:val="24"/>
                <w:lang w:val="en-GB"/>
              </w:rPr>
              <w:t>Chart 2: The composite FCI and risk materialisation (CNB)</w:t>
            </w:r>
          </w:p>
          <w:p w:rsidR="005F7E72" w:rsidRPr="00CD7EA4" w:rsidRDefault="005F7E72" w:rsidP="00560947">
            <w:pPr>
              <w:rPr>
                <w:rFonts w:ascii="Arial" w:hAnsi="Arial" w:cs="Arial"/>
                <w:sz w:val="18"/>
                <w:szCs w:val="18"/>
                <w:lang w:val="en-GB"/>
              </w:rPr>
            </w:pPr>
          </w:p>
        </w:tc>
        <w:tc>
          <w:tcPr>
            <w:tcW w:w="271" w:type="dxa"/>
          </w:tcPr>
          <w:p w:rsidR="00780B11" w:rsidRPr="00CD7EA4" w:rsidRDefault="00780B11" w:rsidP="00560947">
            <w:pPr>
              <w:rPr>
                <w:rFonts w:ascii="Arial" w:hAnsi="Arial" w:cs="Arial"/>
                <w:sz w:val="18"/>
                <w:szCs w:val="18"/>
                <w:lang w:val="en-GB"/>
              </w:rPr>
            </w:pPr>
          </w:p>
        </w:tc>
      </w:tr>
    </w:tbl>
    <w:p w:rsidR="00861604" w:rsidRDefault="00861604" w:rsidP="00861604">
      <w:pPr>
        <w:pStyle w:val="Hlavnitext"/>
        <w:spacing w:after="0"/>
        <w:rPr>
          <w:lang w:val="en-GB"/>
        </w:rPr>
      </w:pPr>
    </w:p>
    <w:p w:rsidR="009676DF" w:rsidRPr="00CD7EA4" w:rsidRDefault="00333D6E" w:rsidP="005F7E72">
      <w:pPr>
        <w:pStyle w:val="NADPIS20"/>
        <w:spacing w:before="0" w:after="0"/>
        <w:rPr>
          <w:lang w:val="en-GB"/>
        </w:rPr>
      </w:pPr>
      <w:r>
        <w:rPr>
          <w:lang w:val="en-GB"/>
        </w:rPr>
        <w:t xml:space="preserve">4 </w:t>
      </w:r>
      <w:r w:rsidR="00861604">
        <w:rPr>
          <w:lang w:val="en-GB"/>
        </w:rPr>
        <w:t>Deciding up</w:t>
      </w:r>
      <w:r w:rsidR="009D6A95" w:rsidRPr="00CD7EA4">
        <w:rPr>
          <w:lang w:val="en-GB"/>
        </w:rPr>
        <w:t>on the CCyB rate</w:t>
      </w:r>
    </w:p>
    <w:p w:rsidR="0030503C" w:rsidRDefault="001011F9" w:rsidP="00632179">
      <w:pPr>
        <w:pStyle w:val="Hlavnitext"/>
        <w:spacing w:after="0"/>
        <w:rPr>
          <w:lang w:val="en-GB"/>
        </w:rPr>
      </w:pPr>
      <w:r w:rsidRPr="00CD7EA4">
        <w:rPr>
          <w:lang w:val="en-GB"/>
        </w:rPr>
        <w:t xml:space="preserve">The </w:t>
      </w:r>
      <w:proofErr w:type="spellStart"/>
      <w:r w:rsidR="00067CD1" w:rsidRPr="00CD7EA4">
        <w:rPr>
          <w:lang w:val="en-GB"/>
        </w:rPr>
        <w:t>CCyB</w:t>
      </w:r>
      <w:proofErr w:type="spellEnd"/>
      <w:r w:rsidR="00067CD1" w:rsidRPr="00CD7EA4">
        <w:rPr>
          <w:lang w:val="en-GB"/>
        </w:rPr>
        <w:t xml:space="preserve"> rate </w:t>
      </w:r>
      <w:r w:rsidRPr="00CD7EA4">
        <w:rPr>
          <w:lang w:val="en-GB"/>
        </w:rPr>
        <w:t>decision-making process is largely formalised and has clearly defined rules. For the reasons described in detail in section</w:t>
      </w:r>
      <w:r w:rsidR="008112DE" w:rsidRPr="00CD7EA4">
        <w:rPr>
          <w:lang w:val="en-GB"/>
        </w:rPr>
        <w:t> </w:t>
      </w:r>
      <w:r w:rsidRPr="00CD7EA4">
        <w:rPr>
          <w:lang w:val="en-GB"/>
        </w:rPr>
        <w:t xml:space="preserve">2, however, </w:t>
      </w:r>
      <w:r w:rsidR="008112DE" w:rsidRPr="00CD7EA4">
        <w:rPr>
          <w:lang w:val="en-GB"/>
        </w:rPr>
        <w:t xml:space="preserve">the </w:t>
      </w:r>
      <w:proofErr w:type="spellStart"/>
      <w:r w:rsidRPr="00CD7EA4">
        <w:rPr>
          <w:lang w:val="en-GB"/>
        </w:rPr>
        <w:t>CCyB</w:t>
      </w:r>
      <w:proofErr w:type="spellEnd"/>
      <w:r w:rsidRPr="00CD7EA4">
        <w:rPr>
          <w:lang w:val="en-GB"/>
        </w:rPr>
        <w:t xml:space="preserve"> rate cannot be set </w:t>
      </w:r>
      <w:r w:rsidR="00A24918" w:rsidRPr="00CD7EA4">
        <w:rPr>
          <w:lang w:val="en-GB"/>
        </w:rPr>
        <w:t>in a purely mechanical fashion</w:t>
      </w:r>
      <w:r w:rsidRPr="00CD7EA4">
        <w:rPr>
          <w:lang w:val="en-GB"/>
        </w:rPr>
        <w:t xml:space="preserve">. The CNB’s approach </w:t>
      </w:r>
      <w:r w:rsidR="00067CD1" w:rsidRPr="00CD7EA4">
        <w:rPr>
          <w:lang w:val="en-GB"/>
        </w:rPr>
        <w:t xml:space="preserve">is </w:t>
      </w:r>
      <w:r w:rsidRPr="00CD7EA4">
        <w:rPr>
          <w:lang w:val="en-GB"/>
        </w:rPr>
        <w:t xml:space="preserve">thus </w:t>
      </w:r>
      <w:r w:rsidR="00067CD1" w:rsidRPr="00CD7EA4">
        <w:rPr>
          <w:lang w:val="en-GB"/>
        </w:rPr>
        <w:t>one</w:t>
      </w:r>
      <w:r w:rsidRPr="00CD7EA4">
        <w:rPr>
          <w:lang w:val="en-GB"/>
        </w:rPr>
        <w:t xml:space="preserve"> of “</w:t>
      </w:r>
      <w:r w:rsidR="00F8221C">
        <w:rPr>
          <w:lang w:val="en-GB"/>
        </w:rPr>
        <w:t>guided</w:t>
      </w:r>
      <w:r w:rsidR="00F8221C" w:rsidRPr="00CD7EA4">
        <w:rPr>
          <w:lang w:val="en-GB"/>
        </w:rPr>
        <w:t xml:space="preserve"> </w:t>
      </w:r>
      <w:r w:rsidRPr="00CD7EA4">
        <w:rPr>
          <w:lang w:val="en-GB"/>
        </w:rPr>
        <w:t>discretion”</w:t>
      </w:r>
      <w:r w:rsidR="00A24918" w:rsidRPr="00CD7EA4">
        <w:rPr>
          <w:lang w:val="en-GB"/>
        </w:rPr>
        <w:t xml:space="preserve">, </w:t>
      </w:r>
      <w:r w:rsidR="00067CD1" w:rsidRPr="00CD7EA4">
        <w:rPr>
          <w:lang w:val="en-GB"/>
        </w:rPr>
        <w:t>requiring</w:t>
      </w:r>
      <w:r w:rsidR="00A24918" w:rsidRPr="00CD7EA4">
        <w:rPr>
          <w:lang w:val="en-GB"/>
        </w:rPr>
        <w:t xml:space="preserve">, </w:t>
      </w:r>
      <w:r w:rsidR="00A24918" w:rsidRPr="00CD7EA4">
        <w:rPr>
          <w:lang w:val="en-GB"/>
        </w:rPr>
        <w:lastRenderedPageBreak/>
        <w:t>in addition to regular assessment of the main indicators, a great deal of expert judgement on developments in the financial sector. The entire process is illustrated in simplified form in Figure</w:t>
      </w:r>
      <w:r w:rsidR="008112DE" w:rsidRPr="00CD7EA4">
        <w:rPr>
          <w:lang w:val="en-GB"/>
        </w:rPr>
        <w:t> </w:t>
      </w:r>
      <w:r w:rsidR="00A24918" w:rsidRPr="00CD7EA4">
        <w:rPr>
          <w:lang w:val="en-GB"/>
        </w:rPr>
        <w:t>2.</w:t>
      </w:r>
      <w:r w:rsidR="00B7023A" w:rsidRPr="00CD7EA4">
        <w:rPr>
          <w:lang w:val="en-GB"/>
        </w:rPr>
        <w:t xml:space="preserve"> In the initial phase, </w:t>
      </w:r>
      <w:r w:rsidR="001C484D">
        <w:rPr>
          <w:lang w:val="en-GB"/>
        </w:rPr>
        <w:t>the CNB</w:t>
      </w:r>
      <w:r w:rsidR="001C484D" w:rsidRPr="00CD7EA4">
        <w:rPr>
          <w:lang w:val="en-GB"/>
        </w:rPr>
        <w:t xml:space="preserve"> </w:t>
      </w:r>
      <w:r w:rsidR="00B7023A" w:rsidRPr="00CD7EA4">
        <w:rPr>
          <w:lang w:val="en-GB"/>
        </w:rPr>
        <w:t>need</w:t>
      </w:r>
      <w:r w:rsidR="001C484D">
        <w:rPr>
          <w:lang w:val="en-GB"/>
        </w:rPr>
        <w:t>s</w:t>
      </w:r>
      <w:r w:rsidR="00B7023A" w:rsidRPr="00CD7EA4">
        <w:rPr>
          <w:lang w:val="en-GB"/>
        </w:rPr>
        <w:t xml:space="preserve"> to judge whether the current </w:t>
      </w:r>
      <w:proofErr w:type="spellStart"/>
      <w:r w:rsidR="00B7023A" w:rsidRPr="00CD7EA4">
        <w:rPr>
          <w:lang w:val="en-GB"/>
        </w:rPr>
        <w:t>CCyB</w:t>
      </w:r>
      <w:proofErr w:type="spellEnd"/>
      <w:r w:rsidR="00B7023A" w:rsidRPr="00CD7EA4">
        <w:rPr>
          <w:lang w:val="en-GB"/>
        </w:rPr>
        <w:t xml:space="preserve"> rate is </w:t>
      </w:r>
      <w:r w:rsidR="00067CD1" w:rsidRPr="00CD7EA4">
        <w:rPr>
          <w:lang w:val="en-GB"/>
        </w:rPr>
        <w:t>commensurate</w:t>
      </w:r>
      <w:r w:rsidR="00B7023A" w:rsidRPr="00CD7EA4">
        <w:rPr>
          <w:lang w:val="en-GB"/>
        </w:rPr>
        <w:t xml:space="preserve"> with the observed situation (the blue area in Figure </w:t>
      </w:r>
      <w:r w:rsidR="00DE50B3" w:rsidRPr="00CD7EA4">
        <w:rPr>
          <w:lang w:val="en-GB"/>
        </w:rPr>
        <w:t>2)</w:t>
      </w:r>
      <w:r w:rsidR="009833DB" w:rsidRPr="00CD7EA4">
        <w:rPr>
          <w:lang w:val="en-GB"/>
        </w:rPr>
        <w:t xml:space="preserve">. </w:t>
      </w:r>
      <w:r w:rsidR="001C484D">
        <w:rPr>
          <w:lang w:val="en-GB"/>
        </w:rPr>
        <w:t>The CNB</w:t>
      </w:r>
      <w:r w:rsidR="001C484D" w:rsidRPr="00CD7EA4">
        <w:rPr>
          <w:lang w:val="en-GB"/>
        </w:rPr>
        <w:t xml:space="preserve"> </w:t>
      </w:r>
      <w:r w:rsidR="00B7023A" w:rsidRPr="00CD7EA4">
        <w:rPr>
          <w:lang w:val="en-GB"/>
        </w:rPr>
        <w:t xml:space="preserve">thus </w:t>
      </w:r>
      <w:r w:rsidR="001C484D" w:rsidRPr="00CD7EA4">
        <w:rPr>
          <w:lang w:val="en-GB"/>
        </w:rPr>
        <w:t>ha</w:t>
      </w:r>
      <w:r w:rsidR="001C484D">
        <w:rPr>
          <w:lang w:val="en-GB"/>
        </w:rPr>
        <w:t>s</w:t>
      </w:r>
      <w:r w:rsidR="001C484D" w:rsidRPr="00CD7EA4">
        <w:rPr>
          <w:lang w:val="en-GB"/>
        </w:rPr>
        <w:t xml:space="preserve"> </w:t>
      </w:r>
      <w:r w:rsidR="00B7023A" w:rsidRPr="00CD7EA4">
        <w:rPr>
          <w:lang w:val="en-GB"/>
        </w:rPr>
        <w:t xml:space="preserve">to decide whether conditions in the economy necessitate the introduction of a non-zero rate and, if so, whether </w:t>
      </w:r>
      <w:r w:rsidR="00AE2F6A">
        <w:rPr>
          <w:lang w:val="en-GB"/>
        </w:rPr>
        <w:t xml:space="preserve">a </w:t>
      </w:r>
      <w:r w:rsidR="00B7023A" w:rsidRPr="00CD7EA4">
        <w:rPr>
          <w:lang w:val="en-GB"/>
        </w:rPr>
        <w:t>tighten</w:t>
      </w:r>
      <w:r w:rsidR="00DC1C10">
        <w:rPr>
          <w:lang w:val="en-GB"/>
        </w:rPr>
        <w:t>ing</w:t>
      </w:r>
      <w:r w:rsidR="00B7023A" w:rsidRPr="00CD7EA4">
        <w:rPr>
          <w:lang w:val="en-GB"/>
        </w:rPr>
        <w:t xml:space="preserve"> or eas</w:t>
      </w:r>
      <w:r w:rsidR="00DC1C10">
        <w:rPr>
          <w:lang w:val="en-GB"/>
        </w:rPr>
        <w:t>ing of</w:t>
      </w:r>
      <w:r w:rsidR="00B7023A" w:rsidRPr="00CD7EA4">
        <w:rPr>
          <w:lang w:val="en-GB"/>
        </w:rPr>
        <w:t xml:space="preserve"> </w:t>
      </w:r>
      <w:proofErr w:type="spellStart"/>
      <w:r w:rsidR="00B7023A" w:rsidRPr="00CD7EA4">
        <w:rPr>
          <w:lang w:val="en-GB"/>
        </w:rPr>
        <w:t>macroprudential</w:t>
      </w:r>
      <w:proofErr w:type="spellEnd"/>
      <w:r w:rsidR="00B7023A" w:rsidRPr="00CD7EA4">
        <w:rPr>
          <w:lang w:val="en-GB"/>
        </w:rPr>
        <w:t xml:space="preserve"> policy</w:t>
      </w:r>
      <w:r w:rsidR="00DC1C10">
        <w:rPr>
          <w:lang w:val="en-GB"/>
        </w:rPr>
        <w:t xml:space="preserve"> is needed</w:t>
      </w:r>
      <w:r w:rsidR="00B7023A" w:rsidRPr="00CD7EA4">
        <w:rPr>
          <w:lang w:val="en-GB"/>
        </w:rPr>
        <w:t xml:space="preserve">. This phase of the process is based on </w:t>
      </w:r>
      <w:r w:rsidR="001C484D">
        <w:rPr>
          <w:lang w:val="en-GB"/>
        </w:rPr>
        <w:t>the CNB’s assessment</w:t>
      </w:r>
      <w:r w:rsidR="00B7023A" w:rsidRPr="00CD7EA4">
        <w:rPr>
          <w:lang w:val="en-GB"/>
        </w:rPr>
        <w:t xml:space="preserve"> of the position of the economy in the financial cycle</w:t>
      </w:r>
      <w:r w:rsidR="009833DB" w:rsidRPr="00CD7EA4">
        <w:rPr>
          <w:lang w:val="en-GB"/>
        </w:rPr>
        <w:t xml:space="preserve"> </w:t>
      </w:r>
      <w:r w:rsidR="00AC7717" w:rsidRPr="00CD7EA4">
        <w:rPr>
          <w:lang w:val="en-GB"/>
        </w:rPr>
        <w:t>as well as other aspects such as the settings of other CNB tools whose effects might partially overlap with those of a non-zero rate</w:t>
      </w:r>
      <w:r w:rsidR="0030503C" w:rsidRPr="00CD7EA4">
        <w:rPr>
          <w:lang w:val="en-GB"/>
        </w:rPr>
        <w:t xml:space="preserve">. </w:t>
      </w:r>
      <w:r w:rsidR="00AC7717" w:rsidRPr="00CD7EA4">
        <w:rPr>
          <w:lang w:val="en-GB"/>
        </w:rPr>
        <w:t>Given the complexity of the financial cycle,</w:t>
      </w:r>
      <w:r w:rsidR="00E80529" w:rsidRPr="00CD7EA4">
        <w:rPr>
          <w:lang w:val="en-GB"/>
        </w:rPr>
        <w:t xml:space="preserve"> expert judgement is a necessary part of our considerations about the appropriateness of the </w:t>
      </w:r>
      <w:r w:rsidR="006772EF" w:rsidRPr="00CD7EA4">
        <w:rPr>
          <w:lang w:val="en-GB"/>
        </w:rPr>
        <w:t xml:space="preserve">current </w:t>
      </w:r>
      <w:proofErr w:type="spellStart"/>
      <w:r w:rsidR="00E80529" w:rsidRPr="00CD7EA4">
        <w:rPr>
          <w:lang w:val="en-GB"/>
        </w:rPr>
        <w:t>CCyB</w:t>
      </w:r>
      <w:proofErr w:type="spellEnd"/>
      <w:r w:rsidR="00E80529" w:rsidRPr="00CD7EA4">
        <w:rPr>
          <w:lang w:val="en-GB"/>
        </w:rPr>
        <w:t xml:space="preserve"> rate.</w:t>
      </w:r>
    </w:p>
    <w:p w:rsidR="00861604" w:rsidRPr="00CD7EA4" w:rsidRDefault="00861604" w:rsidP="00632179">
      <w:pPr>
        <w:pStyle w:val="Hlavnitext"/>
        <w:spacing w:after="0"/>
        <w:rPr>
          <w:lang w:val="en-GB"/>
        </w:rPr>
      </w:pPr>
      <w:r w:rsidRPr="00CD7EA4">
        <w:rPr>
          <w:lang w:val="en-GB"/>
        </w:rPr>
        <w:t xml:space="preserve">If the CNB concludes that the current </w:t>
      </w:r>
      <w:proofErr w:type="spellStart"/>
      <w:r w:rsidRPr="00CD7EA4">
        <w:rPr>
          <w:lang w:val="en-GB"/>
        </w:rPr>
        <w:t>CCyB</w:t>
      </w:r>
      <w:proofErr w:type="spellEnd"/>
      <w:r w:rsidRPr="00CD7EA4">
        <w:rPr>
          <w:lang w:val="en-GB"/>
        </w:rPr>
        <w:t xml:space="preserve"> rate is appropriate, it can confirm it at the current level. If, however, it feels that economic conditions </w:t>
      </w:r>
      <w:r>
        <w:rPr>
          <w:lang w:val="en-GB"/>
        </w:rPr>
        <w:t>call for</w:t>
      </w:r>
      <w:r w:rsidRPr="00CD7EA4">
        <w:rPr>
          <w:lang w:val="en-GB"/>
        </w:rPr>
        <w:t xml:space="preserve"> a rate adjustment, be it a tightening or an easing, it moves to considering a change in the </w:t>
      </w:r>
      <w:proofErr w:type="spellStart"/>
      <w:r w:rsidRPr="00CD7EA4">
        <w:rPr>
          <w:lang w:val="en-GB"/>
        </w:rPr>
        <w:t>CCyB</w:t>
      </w:r>
      <w:proofErr w:type="spellEnd"/>
      <w:r w:rsidRPr="00CD7EA4">
        <w:rPr>
          <w:lang w:val="en-GB"/>
        </w:rPr>
        <w:t xml:space="preserve"> rate (the red area in Figure 2).</w:t>
      </w:r>
      <w:r w:rsidRPr="00CD7EA4">
        <w:rPr>
          <w:rStyle w:val="Znakapoznpodarou"/>
          <w:lang w:val="en-GB"/>
        </w:rPr>
        <w:footnoteReference w:id="6"/>
      </w:r>
      <w:r w:rsidRPr="00CD7EA4">
        <w:rPr>
          <w:lang w:val="en-GB"/>
        </w:rPr>
        <w:t xml:space="preserve"> The aspects taken into account when changing the rate are described in more detail below in this section. Before the final decision is made, expert judgement enters the process once again, and the new </w:t>
      </w:r>
      <w:proofErr w:type="spellStart"/>
      <w:r w:rsidRPr="00CD7EA4">
        <w:rPr>
          <w:lang w:val="en-GB"/>
        </w:rPr>
        <w:t>CCyB</w:t>
      </w:r>
      <w:proofErr w:type="spellEnd"/>
      <w:r w:rsidRPr="00CD7EA4">
        <w:rPr>
          <w:lang w:val="en-GB"/>
        </w:rPr>
        <w:t xml:space="preserve"> rate is then set on the basis of all the available information (the yellow area in Figure 2).</w:t>
      </w:r>
    </w:p>
    <w:tbl>
      <w:tblPr>
        <w:tblpPr w:leftFromText="141" w:rightFromText="141" w:vertAnchor="text" w:horzAnchor="margin" w:tblpX="74" w:tblpY="74"/>
        <w:tblW w:w="9026" w:type="dxa"/>
        <w:tblLayout w:type="fixed"/>
        <w:tblCellMar>
          <w:top w:w="28" w:type="dxa"/>
        </w:tblCellMar>
        <w:tblLook w:val="01E0" w:firstRow="1" w:lastRow="1" w:firstColumn="1" w:lastColumn="1" w:noHBand="0" w:noVBand="0"/>
      </w:tblPr>
      <w:tblGrid>
        <w:gridCol w:w="9026"/>
      </w:tblGrid>
      <w:tr w:rsidR="00077865" w:rsidRPr="00CD7EA4" w:rsidTr="006B5A4A">
        <w:trPr>
          <w:cantSplit/>
          <w:trHeight w:val="2372"/>
        </w:trPr>
        <w:tc>
          <w:tcPr>
            <w:tcW w:w="9026" w:type="dxa"/>
          </w:tcPr>
          <w:p w:rsidR="00077865" w:rsidRPr="00CD7EA4" w:rsidRDefault="00077865" w:rsidP="00560947">
            <w:pPr>
              <w:pStyle w:val="Grafnazev"/>
              <w:framePr w:hSpace="0" w:wrap="auto" w:vAnchor="margin" w:hAnchor="text" w:yAlign="inline"/>
              <w:rPr>
                <w:lang w:val="en-GB"/>
              </w:rPr>
            </w:pPr>
          </w:p>
          <w:p w:rsidR="00077865" w:rsidRDefault="00721D47" w:rsidP="00560947">
            <w:pPr>
              <w:rPr>
                <w:rFonts w:ascii="Arial" w:hAnsi="Arial" w:cs="Arial"/>
                <w:sz w:val="18"/>
                <w:szCs w:val="18"/>
                <w:lang w:val="en-GB"/>
              </w:rPr>
            </w:pPr>
            <w:r>
              <w:rPr>
                <w:rFonts w:ascii="Arial" w:hAnsi="Arial" w:cs="Arial"/>
                <w:noProof/>
                <w:sz w:val="18"/>
                <w:szCs w:val="18"/>
              </w:rPr>
              <w:drawing>
                <wp:inline distT="0" distB="0" distL="0" distR="0" wp14:anchorId="44E07C2C" wp14:editId="6DB2B4E0">
                  <wp:extent cx="5591175" cy="316230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1175" cy="3162300"/>
                          </a:xfrm>
                          <a:prstGeom prst="rect">
                            <a:avLst/>
                          </a:prstGeom>
                          <a:noFill/>
                          <a:ln>
                            <a:noFill/>
                          </a:ln>
                        </pic:spPr>
                      </pic:pic>
                    </a:graphicData>
                  </a:graphic>
                </wp:inline>
              </w:drawing>
            </w:r>
          </w:p>
          <w:p w:rsidR="005D76D2" w:rsidRDefault="005D76D2" w:rsidP="005D76D2">
            <w:pPr>
              <w:pStyle w:val="grafnazev0"/>
              <w:rPr>
                <w:lang w:val="en-GB"/>
              </w:rPr>
            </w:pPr>
          </w:p>
          <w:p w:rsidR="005D76D2" w:rsidRPr="00CD7EA4" w:rsidRDefault="005D76D2" w:rsidP="00644469">
            <w:pPr>
              <w:rPr>
                <w:lang w:val="en-GB"/>
              </w:rPr>
            </w:pPr>
            <w:r w:rsidRPr="005D76D2">
              <w:rPr>
                <w:i/>
                <w:lang w:val="en-GB"/>
              </w:rPr>
              <w:t xml:space="preserve">Figure 2: The CNB’s approach to setting the </w:t>
            </w:r>
            <w:proofErr w:type="spellStart"/>
            <w:r w:rsidRPr="005D76D2">
              <w:rPr>
                <w:i/>
                <w:lang w:val="en-GB"/>
              </w:rPr>
              <w:t>CCyB</w:t>
            </w:r>
            <w:proofErr w:type="spellEnd"/>
            <w:r w:rsidRPr="005D76D2">
              <w:rPr>
                <w:i/>
                <w:lang w:val="en-GB"/>
              </w:rPr>
              <w:t xml:space="preserve"> rate</w:t>
            </w:r>
            <w:r w:rsidR="006B5A4A">
              <w:rPr>
                <w:i/>
                <w:lang w:val="en-GB"/>
              </w:rPr>
              <w:t xml:space="preserve"> (CNB)</w:t>
            </w:r>
          </w:p>
          <w:p w:rsidR="005D76D2" w:rsidRPr="00CD7EA4" w:rsidRDefault="005D76D2" w:rsidP="005D76D2">
            <w:pPr>
              <w:rPr>
                <w:rFonts w:ascii="Arial" w:hAnsi="Arial" w:cs="Arial"/>
                <w:sz w:val="18"/>
                <w:szCs w:val="18"/>
                <w:lang w:val="en-GB"/>
              </w:rPr>
            </w:pPr>
          </w:p>
        </w:tc>
      </w:tr>
    </w:tbl>
    <w:p w:rsidR="002C2812" w:rsidRDefault="002F3E0D" w:rsidP="00632179">
      <w:pPr>
        <w:pStyle w:val="Hlavnitext"/>
        <w:spacing w:after="0"/>
        <w:rPr>
          <w:lang w:val="en-GB"/>
        </w:rPr>
      </w:pPr>
      <w:r w:rsidRPr="00CD7EA4">
        <w:rPr>
          <w:lang w:val="en-GB"/>
        </w:rPr>
        <w:t xml:space="preserve">Where application of the BCBS/ESRB methodology </w:t>
      </w:r>
      <w:r w:rsidR="00CD4784" w:rsidRPr="00CD7EA4">
        <w:rPr>
          <w:lang w:val="en-GB"/>
        </w:rPr>
        <w:t xml:space="preserve">is </w:t>
      </w:r>
      <w:r w:rsidRPr="00CD7EA4">
        <w:rPr>
          <w:lang w:val="en-GB"/>
        </w:rPr>
        <w:t>not a suitable starting point for determining the rate (see above), other criteria must be taken into account in the decision-making process. The simplest guide for setting the rate is past historical experience and the known facts about the morphology of the financial cycle. The economic literature states that the average length of the financial cycle in advanced countries is around 15</w:t>
      </w:r>
      <w:r w:rsidR="008D7859" w:rsidRPr="00CD7EA4">
        <w:rPr>
          <w:lang w:val="en-GB"/>
        </w:rPr>
        <w:t> </w:t>
      </w:r>
      <w:r w:rsidRPr="00CD7EA4">
        <w:rPr>
          <w:lang w:val="en-GB"/>
        </w:rPr>
        <w:t>years</w:t>
      </w:r>
      <w:r w:rsidR="00CD4784" w:rsidRPr="00CD7EA4">
        <w:rPr>
          <w:lang w:val="en-GB"/>
        </w:rPr>
        <w:t>.</w:t>
      </w:r>
      <w:r w:rsidRPr="00CD7EA4">
        <w:rPr>
          <w:lang w:val="en-GB"/>
        </w:rPr>
        <w:t xml:space="preserve"> </w:t>
      </w:r>
      <w:r w:rsidR="00CD4784" w:rsidRPr="00CD7EA4">
        <w:rPr>
          <w:lang w:val="en-GB"/>
        </w:rPr>
        <w:t>T</w:t>
      </w:r>
      <w:r w:rsidRPr="00CD7EA4">
        <w:rPr>
          <w:lang w:val="en-GB"/>
        </w:rPr>
        <w:t xml:space="preserve">he </w:t>
      </w:r>
      <w:r w:rsidRPr="00CD7EA4">
        <w:rPr>
          <w:lang w:val="en-GB"/>
        </w:rPr>
        <w:lastRenderedPageBreak/>
        <w:t xml:space="preserve">downward phase from the </w:t>
      </w:r>
      <w:r w:rsidR="00FC6B5B" w:rsidRPr="00CD7EA4">
        <w:rPr>
          <w:lang w:val="en-GB"/>
        </w:rPr>
        <w:t>peak</w:t>
      </w:r>
      <w:r w:rsidRPr="00CD7EA4">
        <w:rPr>
          <w:lang w:val="en-GB"/>
        </w:rPr>
        <w:t xml:space="preserve"> to the </w:t>
      </w:r>
      <w:r w:rsidR="00FC6B5B" w:rsidRPr="00CD7EA4">
        <w:rPr>
          <w:lang w:val="en-GB"/>
        </w:rPr>
        <w:t>trough</w:t>
      </w:r>
      <w:r w:rsidRPr="00CD7EA4">
        <w:rPr>
          <w:lang w:val="en-GB"/>
        </w:rPr>
        <w:t xml:space="preserve"> of the cycle is around half as long as the upward phase from the </w:t>
      </w:r>
      <w:r w:rsidR="00FC6B5B" w:rsidRPr="00CD7EA4">
        <w:rPr>
          <w:lang w:val="en-GB"/>
        </w:rPr>
        <w:t>trough</w:t>
      </w:r>
      <w:r w:rsidRPr="00CD7EA4">
        <w:rPr>
          <w:lang w:val="en-GB"/>
        </w:rPr>
        <w:t xml:space="preserve"> to the next peak (see, for example,</w:t>
      </w:r>
      <w:r w:rsidR="006C7D2F" w:rsidRPr="00CD7EA4">
        <w:rPr>
          <w:lang w:val="en-GB"/>
        </w:rPr>
        <w:t xml:space="preserve"> </w:t>
      </w:r>
      <w:proofErr w:type="spellStart"/>
      <w:r w:rsidR="009A779A" w:rsidRPr="00CD7EA4">
        <w:rPr>
          <w:lang w:val="en-GB"/>
        </w:rPr>
        <w:t>Drehmann</w:t>
      </w:r>
      <w:proofErr w:type="spellEnd"/>
      <w:r w:rsidR="009A779A" w:rsidRPr="00CD7EA4">
        <w:rPr>
          <w:lang w:val="en-GB"/>
        </w:rPr>
        <w:t xml:space="preserve"> et al., </w:t>
      </w:r>
      <w:r w:rsidR="006D288F" w:rsidRPr="00CD7EA4">
        <w:rPr>
          <w:lang w:val="en-GB"/>
        </w:rPr>
        <w:t>2012</w:t>
      </w:r>
      <w:r w:rsidRPr="00CD7EA4">
        <w:rPr>
          <w:lang w:val="en-GB"/>
        </w:rPr>
        <w:t xml:space="preserve">, </w:t>
      </w:r>
      <w:r w:rsidR="006D288F" w:rsidRPr="00CD7EA4">
        <w:rPr>
          <w:lang w:val="en-GB"/>
        </w:rPr>
        <w:t>2013</w:t>
      </w:r>
      <w:r w:rsidR="009A779A" w:rsidRPr="00CD7EA4">
        <w:rPr>
          <w:lang w:val="en-GB"/>
        </w:rPr>
        <w:t xml:space="preserve">). </w:t>
      </w:r>
      <w:r w:rsidRPr="00CD7EA4">
        <w:rPr>
          <w:lang w:val="en-GB"/>
        </w:rPr>
        <w:t>Moreover, the upward phase can be divided</w:t>
      </w:r>
      <w:r w:rsidR="00FC6B5B" w:rsidRPr="00CD7EA4">
        <w:rPr>
          <w:lang w:val="en-GB"/>
        </w:rPr>
        <w:t xml:space="preserve"> into a recovery phase, when the subdued economy slowly emerges from the trough of the cycle, and an expansion phase, when credit</w:t>
      </w:r>
      <w:r w:rsidR="008D7859" w:rsidRPr="00CD7EA4">
        <w:rPr>
          <w:lang w:val="en-GB"/>
        </w:rPr>
        <w:t xml:space="preserve"> dynamics </w:t>
      </w:r>
      <w:r w:rsidR="006D2641" w:rsidRPr="00CD7EA4">
        <w:rPr>
          <w:lang w:val="en-GB"/>
        </w:rPr>
        <w:t xml:space="preserve">surge </w:t>
      </w:r>
      <w:r w:rsidR="00FC6B5B" w:rsidRPr="00CD7EA4">
        <w:rPr>
          <w:lang w:val="en-GB"/>
        </w:rPr>
        <w:t>and system</w:t>
      </w:r>
      <w:r w:rsidR="00010BDA" w:rsidRPr="00CD7EA4">
        <w:rPr>
          <w:lang w:val="en-GB"/>
        </w:rPr>
        <w:t>ic</w:t>
      </w:r>
      <w:r w:rsidR="008D7859" w:rsidRPr="00CD7EA4">
        <w:rPr>
          <w:lang w:val="en-GB"/>
        </w:rPr>
        <w:t xml:space="preserve"> risk</w:t>
      </w:r>
      <w:r w:rsidR="006D2641" w:rsidRPr="00CD7EA4">
        <w:rPr>
          <w:lang w:val="en-GB"/>
        </w:rPr>
        <w:t xml:space="preserve"> rises. The two ph</w:t>
      </w:r>
      <w:r w:rsidR="00010BDA" w:rsidRPr="00CD7EA4">
        <w:rPr>
          <w:lang w:val="en-GB"/>
        </w:rPr>
        <w:t>ases are roughly equal in length</w:t>
      </w:r>
      <w:r w:rsidR="00A8538F" w:rsidRPr="00CD7EA4">
        <w:rPr>
          <w:lang w:val="en-GB"/>
        </w:rPr>
        <w:t xml:space="preserve"> (</w:t>
      </w:r>
      <w:r w:rsidR="00010BDA" w:rsidRPr="00CD7EA4">
        <w:rPr>
          <w:lang w:val="en-GB"/>
        </w:rPr>
        <w:t xml:space="preserve">see </w:t>
      </w:r>
      <w:proofErr w:type="spellStart"/>
      <w:r w:rsidR="00A8538F" w:rsidRPr="00CD7EA4">
        <w:rPr>
          <w:lang w:val="en-GB"/>
        </w:rPr>
        <w:t>Drehman</w:t>
      </w:r>
      <w:proofErr w:type="spellEnd"/>
      <w:r w:rsidR="00A8538F" w:rsidRPr="00CD7EA4">
        <w:rPr>
          <w:lang w:val="en-GB"/>
        </w:rPr>
        <w:t xml:space="preserve"> et al., 201</w:t>
      </w:r>
      <w:r w:rsidR="006D288F" w:rsidRPr="00CD7EA4">
        <w:rPr>
          <w:lang w:val="en-GB"/>
        </w:rPr>
        <w:t>2</w:t>
      </w:r>
      <w:r w:rsidR="00A8538F" w:rsidRPr="00CD7EA4">
        <w:rPr>
          <w:lang w:val="en-GB"/>
        </w:rPr>
        <w:t>)</w:t>
      </w:r>
      <w:r w:rsidR="009A779A" w:rsidRPr="00CD7EA4">
        <w:rPr>
          <w:lang w:val="en-GB"/>
        </w:rPr>
        <w:t xml:space="preserve">. </w:t>
      </w:r>
      <w:r w:rsidR="00010BDA" w:rsidRPr="00CD7EA4">
        <w:rPr>
          <w:lang w:val="en-GB"/>
        </w:rPr>
        <w:t xml:space="preserve">On </w:t>
      </w:r>
      <w:r w:rsidR="003B4142" w:rsidRPr="00CD7EA4">
        <w:rPr>
          <w:lang w:val="en-GB"/>
        </w:rPr>
        <w:t>a</w:t>
      </w:r>
      <w:r w:rsidR="00010BDA" w:rsidRPr="00CD7EA4">
        <w:rPr>
          <w:lang w:val="en-GB"/>
        </w:rPr>
        <w:t xml:space="preserve"> general level, </w:t>
      </w:r>
      <w:r w:rsidR="007145D9" w:rsidRPr="00CD7EA4">
        <w:rPr>
          <w:lang w:val="en-GB"/>
        </w:rPr>
        <w:t>then</w:t>
      </w:r>
      <w:r w:rsidR="00010BDA" w:rsidRPr="00CD7EA4">
        <w:rPr>
          <w:lang w:val="en-GB"/>
        </w:rPr>
        <w:t>, the observed historical experience</w:t>
      </w:r>
      <w:r w:rsidR="003B4142" w:rsidRPr="00CD7EA4">
        <w:rPr>
          <w:lang w:val="en-GB"/>
        </w:rPr>
        <w:t xml:space="preserve"> implies that the economy is in </w:t>
      </w:r>
      <w:r w:rsidR="005D65DB" w:rsidRPr="00CD7EA4">
        <w:rPr>
          <w:lang w:val="en-GB"/>
        </w:rPr>
        <w:t>the</w:t>
      </w:r>
      <w:r w:rsidR="003B4142" w:rsidRPr="00CD7EA4">
        <w:rPr>
          <w:lang w:val="en-GB"/>
        </w:rPr>
        <w:t xml:space="preserve"> </w:t>
      </w:r>
      <w:r w:rsidR="00357594" w:rsidRPr="00CD7EA4">
        <w:rPr>
          <w:lang w:val="en-GB"/>
        </w:rPr>
        <w:t xml:space="preserve">expansion </w:t>
      </w:r>
      <w:r w:rsidR="003B4142" w:rsidRPr="00CD7EA4">
        <w:rPr>
          <w:lang w:val="en-GB"/>
        </w:rPr>
        <w:t>phase of the financial cycle for around five years on average.</w:t>
      </w:r>
      <w:r w:rsidR="00FC48E9" w:rsidRPr="00CD7EA4">
        <w:rPr>
          <w:lang w:val="en-GB"/>
        </w:rPr>
        <w:t xml:space="preserve"> When there is a need to build up the </w:t>
      </w:r>
      <w:proofErr w:type="spellStart"/>
      <w:r w:rsidR="00FC48E9" w:rsidRPr="00CD7EA4">
        <w:rPr>
          <w:lang w:val="en-GB"/>
        </w:rPr>
        <w:t>CCyB</w:t>
      </w:r>
      <w:proofErr w:type="spellEnd"/>
      <w:r w:rsidR="00FC48E9" w:rsidRPr="00CD7EA4">
        <w:rPr>
          <w:lang w:val="en-GB"/>
        </w:rPr>
        <w:t xml:space="preserve"> during an expansion phase, a simple rule of thumb based on the ratio of the assumed maximum rate (2.5%) to the assumed length of the expansion phase (five years) can be used. This rule </w:t>
      </w:r>
      <w:r w:rsidR="005D65DB" w:rsidRPr="00CD7EA4">
        <w:rPr>
          <w:lang w:val="en-GB"/>
        </w:rPr>
        <w:t>there</w:t>
      </w:r>
      <w:r w:rsidR="00FC48E9" w:rsidRPr="00CD7EA4">
        <w:rPr>
          <w:lang w:val="en-GB"/>
        </w:rPr>
        <w:t>for</w:t>
      </w:r>
      <w:r w:rsidR="005D65DB" w:rsidRPr="00CD7EA4">
        <w:rPr>
          <w:lang w:val="en-GB"/>
        </w:rPr>
        <w:t>e</w:t>
      </w:r>
      <w:r w:rsidR="00FC48E9" w:rsidRPr="00CD7EA4">
        <w:rPr>
          <w:lang w:val="en-GB"/>
        </w:rPr>
        <w:t xml:space="preserve"> states that the </w:t>
      </w:r>
      <w:proofErr w:type="spellStart"/>
      <w:r w:rsidR="00FC48E9" w:rsidRPr="00CD7EA4">
        <w:rPr>
          <w:lang w:val="en-GB"/>
        </w:rPr>
        <w:t>macroprudential</w:t>
      </w:r>
      <w:proofErr w:type="spellEnd"/>
      <w:r w:rsidR="00FC48E9" w:rsidRPr="00CD7EA4">
        <w:rPr>
          <w:lang w:val="en-GB"/>
        </w:rPr>
        <w:t xml:space="preserve"> authority should increase the </w:t>
      </w:r>
      <w:proofErr w:type="spellStart"/>
      <w:r w:rsidR="00FC48E9" w:rsidRPr="00CD7EA4">
        <w:rPr>
          <w:lang w:val="en-GB"/>
        </w:rPr>
        <w:t>CCyB</w:t>
      </w:r>
      <w:proofErr w:type="spellEnd"/>
      <w:r w:rsidR="00FC48E9" w:rsidRPr="00CD7EA4">
        <w:rPr>
          <w:lang w:val="en-GB"/>
        </w:rPr>
        <w:t xml:space="preserve"> rate by at least 0.5 pp in each year of the expansion phase</w:t>
      </w:r>
      <w:r w:rsidR="009A779A" w:rsidRPr="00CD7EA4">
        <w:rPr>
          <w:lang w:val="en-GB"/>
        </w:rPr>
        <w:t>.</w:t>
      </w:r>
      <w:r w:rsidR="00D621E3" w:rsidRPr="00CD7EA4">
        <w:rPr>
          <w:lang w:val="en-GB"/>
        </w:rPr>
        <w:t xml:space="preserve"> </w:t>
      </w:r>
      <w:r w:rsidR="00FC48E9" w:rsidRPr="00CD7EA4">
        <w:rPr>
          <w:lang w:val="en-GB"/>
        </w:rPr>
        <w:t xml:space="preserve">Despite </w:t>
      </w:r>
      <w:r w:rsidR="005D65DB" w:rsidRPr="00CD7EA4">
        <w:rPr>
          <w:lang w:val="en-GB"/>
        </w:rPr>
        <w:t>being only a rule of thumb</w:t>
      </w:r>
      <w:r w:rsidR="00FC48E9" w:rsidRPr="00CD7EA4">
        <w:rPr>
          <w:lang w:val="en-GB"/>
        </w:rPr>
        <w:t xml:space="preserve">, </w:t>
      </w:r>
      <w:r w:rsidR="00F95479" w:rsidRPr="00CD7EA4">
        <w:rPr>
          <w:lang w:val="en-GB"/>
        </w:rPr>
        <w:t>this</w:t>
      </w:r>
      <w:r w:rsidR="00FC48E9" w:rsidRPr="00CD7EA4">
        <w:rPr>
          <w:lang w:val="en-GB"/>
        </w:rPr>
        <w:t xml:space="preserve"> can be </w:t>
      </w:r>
      <w:r w:rsidR="005D65DB" w:rsidRPr="00CD7EA4">
        <w:rPr>
          <w:lang w:val="en-GB"/>
        </w:rPr>
        <w:t xml:space="preserve">a </w:t>
      </w:r>
      <w:r w:rsidR="00FC48E9" w:rsidRPr="00CD7EA4">
        <w:rPr>
          <w:lang w:val="en-GB"/>
        </w:rPr>
        <w:t xml:space="preserve">useful </w:t>
      </w:r>
      <w:r w:rsidR="005D65DB" w:rsidRPr="00CD7EA4">
        <w:rPr>
          <w:lang w:val="en-GB"/>
        </w:rPr>
        <w:t xml:space="preserve">guide </w:t>
      </w:r>
      <w:r w:rsidR="00FC48E9" w:rsidRPr="00CD7EA4">
        <w:rPr>
          <w:lang w:val="en-GB"/>
        </w:rPr>
        <w:t>for setting the rate given the difficulty of predicting</w:t>
      </w:r>
      <w:r w:rsidR="005D65DB" w:rsidRPr="00CD7EA4">
        <w:rPr>
          <w:lang w:val="en-GB"/>
        </w:rPr>
        <w:t xml:space="preserve"> a</w:t>
      </w:r>
      <w:r w:rsidR="00FC48E9" w:rsidRPr="00CD7EA4">
        <w:rPr>
          <w:lang w:val="en-GB"/>
        </w:rPr>
        <w:t xml:space="preserve"> turning point in the financial cycle </w:t>
      </w:r>
      <w:r w:rsidR="005D65DB" w:rsidRPr="00CD7EA4">
        <w:rPr>
          <w:lang w:val="en-GB"/>
        </w:rPr>
        <w:t xml:space="preserve">at a time </w:t>
      </w:r>
      <w:r w:rsidR="00FC48E9" w:rsidRPr="00CD7EA4">
        <w:rPr>
          <w:lang w:val="en-GB"/>
        </w:rPr>
        <w:t>when most indicators are not sending out negative signals</w:t>
      </w:r>
      <w:r w:rsidR="009A6E75" w:rsidRPr="00CD7EA4">
        <w:rPr>
          <w:lang w:val="en-GB"/>
        </w:rPr>
        <w:t xml:space="preserve">. </w:t>
      </w:r>
    </w:p>
    <w:p w:rsidR="00632179" w:rsidRPr="00CD7EA4" w:rsidRDefault="00632179" w:rsidP="00632179">
      <w:pPr>
        <w:pStyle w:val="Hlavnitext"/>
        <w:spacing w:after="0"/>
        <w:rPr>
          <w:lang w:val="en-GB"/>
        </w:rPr>
      </w:pPr>
    </w:p>
    <w:tbl>
      <w:tblPr>
        <w:tblpPr w:leftFromText="141" w:rightFromText="141" w:vertAnchor="text" w:horzAnchor="margin" w:tblpX="74" w:tblpY="74"/>
        <w:tblW w:w="9026" w:type="dxa"/>
        <w:tblLayout w:type="fixed"/>
        <w:tblCellMar>
          <w:top w:w="28" w:type="dxa"/>
        </w:tblCellMar>
        <w:tblLook w:val="01E0" w:firstRow="1" w:lastRow="1" w:firstColumn="1" w:lastColumn="1" w:noHBand="0" w:noVBand="0"/>
      </w:tblPr>
      <w:tblGrid>
        <w:gridCol w:w="8755"/>
        <w:gridCol w:w="271"/>
      </w:tblGrid>
      <w:tr w:rsidR="002C2812" w:rsidRPr="00CD7EA4" w:rsidTr="00644469">
        <w:trPr>
          <w:cantSplit/>
          <w:trHeight w:val="5214"/>
        </w:trPr>
        <w:tc>
          <w:tcPr>
            <w:tcW w:w="8755" w:type="dxa"/>
          </w:tcPr>
          <w:p w:rsidR="00644469" w:rsidRDefault="00D93F97" w:rsidP="00644469">
            <w:pPr>
              <w:pStyle w:val="grafnazev0"/>
              <w:pBdr>
                <w:top w:val="single" w:sz="4" w:space="1" w:color="auto"/>
              </w:pBdr>
              <w:rPr>
                <w:rFonts w:ascii="Times New Roman" w:hAnsi="Times New Roman"/>
                <w:b w:val="0"/>
                <w:i/>
                <w:sz w:val="24"/>
                <w:lang w:val="en-GB"/>
              </w:rPr>
            </w:pPr>
            <w:r w:rsidRPr="00644469">
              <w:rPr>
                <w:rFonts w:ascii="Times New Roman" w:hAnsi="Times New Roman"/>
                <w:b w:val="0"/>
                <w:i/>
                <w:sz w:val="24"/>
                <w:lang w:val="en-GB"/>
              </w:rPr>
              <w:t xml:space="preserve">Table </w:t>
            </w:r>
            <w:r w:rsidR="00DF2FC0" w:rsidRPr="00644469">
              <w:rPr>
                <w:rFonts w:ascii="Times New Roman" w:hAnsi="Times New Roman"/>
                <w:b w:val="0"/>
                <w:i/>
                <w:sz w:val="24"/>
                <w:lang w:val="en-GB"/>
              </w:rPr>
              <w:t>1</w:t>
            </w:r>
            <w:r w:rsidR="00644469" w:rsidRPr="00644469">
              <w:rPr>
                <w:rFonts w:ascii="Times New Roman" w:hAnsi="Times New Roman"/>
                <w:b w:val="0"/>
                <w:i/>
                <w:sz w:val="24"/>
                <w:lang w:val="en-GB"/>
              </w:rPr>
              <w:t xml:space="preserve">: </w:t>
            </w:r>
            <w:r w:rsidR="004D0EE0" w:rsidRPr="00644469">
              <w:rPr>
                <w:rFonts w:ascii="Times New Roman" w:hAnsi="Times New Roman"/>
                <w:b w:val="0"/>
                <w:i/>
                <w:sz w:val="24"/>
                <w:lang w:val="en-GB"/>
              </w:rPr>
              <w:t>The i</w:t>
            </w:r>
            <w:r w:rsidRPr="00644469">
              <w:rPr>
                <w:rFonts w:ascii="Times New Roman" w:hAnsi="Times New Roman"/>
                <w:b w:val="0"/>
                <w:i/>
                <w:sz w:val="24"/>
                <w:lang w:val="en-GB"/>
              </w:rPr>
              <w:t xml:space="preserve">ndicative relationship between </w:t>
            </w:r>
            <w:r w:rsidR="006F247F" w:rsidRPr="00644469">
              <w:rPr>
                <w:rFonts w:ascii="Times New Roman" w:hAnsi="Times New Roman"/>
                <w:b w:val="0"/>
                <w:i/>
                <w:sz w:val="24"/>
                <w:lang w:val="en-GB"/>
              </w:rPr>
              <w:t xml:space="preserve">the </w:t>
            </w:r>
            <w:r w:rsidRPr="00644469">
              <w:rPr>
                <w:rFonts w:ascii="Times New Roman" w:hAnsi="Times New Roman"/>
                <w:b w:val="0"/>
                <w:i/>
                <w:sz w:val="24"/>
                <w:lang w:val="en-GB"/>
              </w:rPr>
              <w:t xml:space="preserve">FCI values and the </w:t>
            </w:r>
            <w:proofErr w:type="spellStart"/>
            <w:r w:rsidRPr="00644469">
              <w:rPr>
                <w:rFonts w:ascii="Times New Roman" w:hAnsi="Times New Roman"/>
                <w:b w:val="0"/>
                <w:i/>
                <w:sz w:val="24"/>
                <w:lang w:val="en-GB"/>
              </w:rPr>
              <w:t>CCyB</w:t>
            </w:r>
            <w:proofErr w:type="spellEnd"/>
            <w:r w:rsidRPr="00644469">
              <w:rPr>
                <w:rFonts w:ascii="Times New Roman" w:hAnsi="Times New Roman"/>
                <w:b w:val="0"/>
                <w:i/>
                <w:sz w:val="24"/>
                <w:lang w:val="en-GB"/>
              </w:rPr>
              <w:t xml:space="preserve"> rate</w:t>
            </w:r>
            <w:r w:rsidR="00644469" w:rsidRPr="00644469">
              <w:rPr>
                <w:rFonts w:ascii="Times New Roman" w:hAnsi="Times New Roman"/>
                <w:b w:val="0"/>
                <w:i/>
                <w:sz w:val="24"/>
                <w:lang w:val="en-GB"/>
              </w:rPr>
              <w:t xml:space="preserve"> </w:t>
            </w:r>
          </w:p>
          <w:p w:rsidR="002C2812" w:rsidRPr="00644469" w:rsidRDefault="00644469" w:rsidP="00644469">
            <w:pPr>
              <w:pStyle w:val="grafnazev0"/>
              <w:pBdr>
                <w:top w:val="single" w:sz="4" w:space="1" w:color="auto"/>
              </w:pBdr>
              <w:rPr>
                <w:rFonts w:ascii="Times New Roman" w:hAnsi="Times New Roman"/>
                <w:b w:val="0"/>
                <w:i/>
                <w:sz w:val="24"/>
                <w:lang w:val="en-GB"/>
              </w:rPr>
            </w:pPr>
            <w:r w:rsidRPr="00644469">
              <w:rPr>
                <w:rFonts w:ascii="Times New Roman" w:hAnsi="Times New Roman"/>
                <w:b w:val="0"/>
                <w:i/>
                <w:sz w:val="24"/>
                <w:lang w:val="en-GB"/>
              </w:rPr>
              <w:t>(CNB calculations)</w:t>
            </w:r>
          </w:p>
          <w:p w:rsidR="002C2812" w:rsidRDefault="00721D47" w:rsidP="00560947">
            <w:pPr>
              <w:rPr>
                <w:rFonts w:ascii="Arial" w:hAnsi="Arial" w:cs="Arial"/>
                <w:sz w:val="18"/>
                <w:szCs w:val="18"/>
                <w:lang w:val="en-GB"/>
              </w:rPr>
            </w:pPr>
            <w:r>
              <w:rPr>
                <w:rFonts w:ascii="Arial" w:hAnsi="Arial" w:cs="Arial"/>
                <w:noProof/>
                <w:sz w:val="18"/>
                <w:szCs w:val="18"/>
              </w:rPr>
              <w:drawing>
                <wp:inline distT="0" distB="0" distL="0" distR="0" wp14:anchorId="259FDCC9" wp14:editId="00E5DA00">
                  <wp:extent cx="3600450" cy="42005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0450" cy="4200525"/>
                          </a:xfrm>
                          <a:prstGeom prst="rect">
                            <a:avLst/>
                          </a:prstGeom>
                          <a:noFill/>
                          <a:ln>
                            <a:noFill/>
                          </a:ln>
                        </pic:spPr>
                      </pic:pic>
                    </a:graphicData>
                  </a:graphic>
                </wp:inline>
              </w:drawing>
            </w:r>
          </w:p>
          <w:p w:rsidR="00E4288D" w:rsidRPr="00CD7EA4" w:rsidRDefault="00E4288D" w:rsidP="00560947">
            <w:pPr>
              <w:rPr>
                <w:rFonts w:ascii="Arial" w:hAnsi="Arial" w:cs="Arial"/>
                <w:sz w:val="18"/>
                <w:szCs w:val="18"/>
                <w:lang w:val="en-GB"/>
              </w:rPr>
            </w:pPr>
          </w:p>
        </w:tc>
        <w:tc>
          <w:tcPr>
            <w:tcW w:w="271" w:type="dxa"/>
          </w:tcPr>
          <w:p w:rsidR="002C2812" w:rsidRPr="00CD7EA4" w:rsidRDefault="002C2812" w:rsidP="00560947">
            <w:pPr>
              <w:rPr>
                <w:rFonts w:ascii="Arial" w:hAnsi="Arial" w:cs="Arial"/>
                <w:sz w:val="18"/>
                <w:szCs w:val="18"/>
                <w:lang w:val="en-GB"/>
              </w:rPr>
            </w:pPr>
          </w:p>
        </w:tc>
      </w:tr>
    </w:tbl>
    <w:p w:rsidR="00127934" w:rsidRDefault="00127934" w:rsidP="00127934">
      <w:pPr>
        <w:pStyle w:val="Hlavnitext"/>
        <w:spacing w:after="0"/>
        <w:rPr>
          <w:lang w:val="en-GB"/>
        </w:rPr>
      </w:pPr>
      <w:r w:rsidRPr="00CD7EA4">
        <w:rPr>
          <w:lang w:val="en-GB"/>
        </w:rPr>
        <w:t xml:space="preserve">Another rough guide is based on the specific historical experience of the Czech banking sector and on domestic indicators of the financial cycle. On the one hand, </w:t>
      </w:r>
      <w:r>
        <w:rPr>
          <w:lang w:val="en-GB"/>
        </w:rPr>
        <w:t xml:space="preserve">the CNB </w:t>
      </w:r>
      <w:r w:rsidRPr="00CD7EA4">
        <w:rPr>
          <w:lang w:val="en-GB"/>
        </w:rPr>
        <w:t xml:space="preserve">can use the national credit-to-GDP gap and the rate implied by it (see Chart 1). On the other hand, our considerations about the level of the rate can be based on the composite FCI (see section 3 for more details). </w:t>
      </w:r>
      <w:bookmarkStart w:id="4" w:name="KVWin_undostart"/>
      <w:bookmarkEnd w:id="4"/>
    </w:p>
    <w:p w:rsidR="00632179" w:rsidRDefault="00861604" w:rsidP="00127934">
      <w:pPr>
        <w:pStyle w:val="Hlavnitext"/>
        <w:spacing w:after="0"/>
        <w:rPr>
          <w:lang w:val="en-GB"/>
        </w:rPr>
      </w:pPr>
      <w:r w:rsidRPr="00CD7EA4">
        <w:rPr>
          <w:lang w:val="en-GB"/>
        </w:rPr>
        <w:t>Table </w:t>
      </w:r>
      <w:r>
        <w:rPr>
          <w:lang w:val="en-GB"/>
        </w:rPr>
        <w:t>1</w:t>
      </w:r>
      <w:r w:rsidRPr="00CD7EA4">
        <w:rPr>
          <w:lang w:val="en-GB"/>
        </w:rPr>
        <w:t xml:space="preserve"> shows the indicative relationship between the FCI values and the </w:t>
      </w:r>
      <w:proofErr w:type="spellStart"/>
      <w:r w:rsidRPr="00CD7EA4">
        <w:rPr>
          <w:lang w:val="en-GB"/>
        </w:rPr>
        <w:t>CCyB</w:t>
      </w:r>
      <w:proofErr w:type="spellEnd"/>
      <w:r w:rsidRPr="00CD7EA4">
        <w:rPr>
          <w:lang w:val="en-GB"/>
        </w:rPr>
        <w:t xml:space="preserve"> rate. The presented relationship can be formally derived by adopting a set of assumptions, two of which </w:t>
      </w:r>
      <w:r w:rsidRPr="00CD7EA4">
        <w:rPr>
          <w:lang w:val="en-GB"/>
        </w:rPr>
        <w:lastRenderedPageBreak/>
        <w:t xml:space="preserve">exert a decisive influence on it. The first is that the maximum observed FCI value from the peak of the previous cycle in mid-2008 must correspond to a rate of 2.5%. The second is that the median of the sub-indicators entering the FCI calculation corresponds to a kind of “equilibrium” situation where the financial cycle is neither significantly subdued nor overheating. The FCI is constructed using a quadratic system of weights (for more details, see Plašil et al., </w:t>
      </w:r>
      <w:proofErr w:type="gramStart"/>
      <w:r w:rsidRPr="00CD7EA4">
        <w:rPr>
          <w:lang w:val="en-GB"/>
        </w:rPr>
        <w:t>2016</w:t>
      </w:r>
      <w:proofErr w:type="gramEnd"/>
      <w:r w:rsidRPr="00CD7EA4">
        <w:rPr>
          <w:lang w:val="en-GB"/>
        </w:rPr>
        <w:t xml:space="preserve">), so the relationship between the FCI values and the </w:t>
      </w:r>
      <w:proofErr w:type="spellStart"/>
      <w:r w:rsidRPr="00CD7EA4">
        <w:rPr>
          <w:lang w:val="en-GB"/>
        </w:rPr>
        <w:t>CCyB</w:t>
      </w:r>
      <w:proofErr w:type="spellEnd"/>
      <w:r w:rsidRPr="00CD7EA4">
        <w:rPr>
          <w:lang w:val="en-GB"/>
        </w:rPr>
        <w:t xml:space="preserve"> rate is non-linear. A consequence of this property is that the bands of FCI values are not necessarily of the same width for all the rates, and it does not hold that an increase in the FCI values leads to a proportional change in the rate. </w:t>
      </w:r>
    </w:p>
    <w:p w:rsidR="007B6332" w:rsidRPr="00CD7EA4" w:rsidRDefault="00D93F97" w:rsidP="00632179">
      <w:pPr>
        <w:pStyle w:val="Hlavnitext"/>
        <w:spacing w:after="0"/>
        <w:rPr>
          <w:lang w:val="en-GB"/>
        </w:rPr>
      </w:pPr>
      <w:r w:rsidRPr="00CD7EA4">
        <w:rPr>
          <w:lang w:val="en-GB"/>
        </w:rPr>
        <w:t xml:space="preserve">More formal approaches to setting the </w:t>
      </w:r>
      <w:proofErr w:type="spellStart"/>
      <w:r w:rsidRPr="00CD7EA4">
        <w:rPr>
          <w:lang w:val="en-GB"/>
        </w:rPr>
        <w:t>CCyB</w:t>
      </w:r>
      <w:proofErr w:type="spellEnd"/>
      <w:r w:rsidRPr="00CD7EA4">
        <w:rPr>
          <w:lang w:val="en-GB"/>
        </w:rPr>
        <w:t xml:space="preserve"> rate are based on the idea that the</w:t>
      </w:r>
      <w:r w:rsidR="00A72564" w:rsidRPr="00CD7EA4">
        <w:rPr>
          <w:lang w:val="en-GB"/>
        </w:rPr>
        <w:t xml:space="preserve"> </w:t>
      </w:r>
      <w:r w:rsidR="000C3CE5" w:rsidRPr="00CD7EA4">
        <w:rPr>
          <w:lang w:val="en-GB"/>
        </w:rPr>
        <w:t xml:space="preserve">size of the </w:t>
      </w:r>
      <w:proofErr w:type="spellStart"/>
      <w:r w:rsidR="00A72564" w:rsidRPr="00CD7EA4">
        <w:rPr>
          <w:lang w:val="en-GB"/>
        </w:rPr>
        <w:t>CCyB</w:t>
      </w:r>
      <w:proofErr w:type="spellEnd"/>
      <w:r w:rsidR="00A72564" w:rsidRPr="00CD7EA4">
        <w:rPr>
          <w:lang w:val="en-GB"/>
        </w:rPr>
        <w:t xml:space="preserve"> </w:t>
      </w:r>
      <w:r w:rsidRPr="00CD7EA4">
        <w:rPr>
          <w:lang w:val="en-GB"/>
        </w:rPr>
        <w:t>should</w:t>
      </w:r>
      <w:r w:rsidR="00AA28ED" w:rsidRPr="00CD7EA4">
        <w:rPr>
          <w:lang w:val="en-GB"/>
        </w:rPr>
        <w:t xml:space="preserve"> </w:t>
      </w:r>
      <w:r w:rsidR="00A72564" w:rsidRPr="00CD7EA4">
        <w:rPr>
          <w:lang w:val="en-GB"/>
        </w:rPr>
        <w:t xml:space="preserve">ensure </w:t>
      </w:r>
      <w:r w:rsidRPr="00CD7EA4">
        <w:rPr>
          <w:lang w:val="en-GB"/>
        </w:rPr>
        <w:t xml:space="preserve">that the total capital buffers </w:t>
      </w:r>
      <w:r w:rsidR="0072190A" w:rsidRPr="00CD7EA4">
        <w:rPr>
          <w:lang w:val="en-GB"/>
        </w:rPr>
        <w:t>are consistent with</w:t>
      </w:r>
      <w:r w:rsidR="00AA28ED" w:rsidRPr="00CD7EA4">
        <w:rPr>
          <w:lang w:val="en-GB"/>
        </w:rPr>
        <w:t xml:space="preserve"> </w:t>
      </w:r>
      <w:r w:rsidRPr="00CD7EA4">
        <w:rPr>
          <w:lang w:val="en-GB"/>
        </w:rPr>
        <w:t xml:space="preserve">the potential losses </w:t>
      </w:r>
      <w:r w:rsidR="00A72564" w:rsidRPr="00CD7EA4">
        <w:rPr>
          <w:lang w:val="en-GB"/>
        </w:rPr>
        <w:t xml:space="preserve">that </w:t>
      </w:r>
      <w:r w:rsidRPr="00CD7EA4">
        <w:rPr>
          <w:lang w:val="en-GB"/>
        </w:rPr>
        <w:t xml:space="preserve">the banking sector as a whole </w:t>
      </w:r>
      <w:r w:rsidR="00A72564" w:rsidRPr="00CD7EA4">
        <w:rPr>
          <w:lang w:val="en-GB"/>
        </w:rPr>
        <w:t>may</w:t>
      </w:r>
      <w:r w:rsidRPr="00CD7EA4">
        <w:rPr>
          <w:lang w:val="en-GB"/>
        </w:rPr>
        <w:t xml:space="preserve"> be exposed to in the event of </w:t>
      </w:r>
      <w:r w:rsidR="002C2547" w:rsidRPr="00CD7EA4">
        <w:rPr>
          <w:lang w:val="en-GB"/>
        </w:rPr>
        <w:t>future stress</w:t>
      </w:r>
      <w:r w:rsidRPr="00CD7EA4">
        <w:rPr>
          <w:lang w:val="en-GB"/>
        </w:rPr>
        <w:t xml:space="preserve">. A natural way of </w:t>
      </w:r>
      <w:r w:rsidR="000C3CE5" w:rsidRPr="00CD7EA4">
        <w:rPr>
          <w:lang w:val="en-GB"/>
        </w:rPr>
        <w:t>doing</w:t>
      </w:r>
      <w:r w:rsidRPr="00CD7EA4">
        <w:rPr>
          <w:lang w:val="en-GB"/>
        </w:rPr>
        <w:t xml:space="preserve"> this is to</w:t>
      </w:r>
      <w:r w:rsidR="005D0F20" w:rsidRPr="00CD7EA4">
        <w:rPr>
          <w:lang w:val="en-GB"/>
        </w:rPr>
        <w:t xml:space="preserve"> </w:t>
      </w:r>
      <w:r w:rsidR="000C3CE5" w:rsidRPr="00CD7EA4">
        <w:rPr>
          <w:lang w:val="en-GB"/>
        </w:rPr>
        <w:t>link</w:t>
      </w:r>
      <w:r w:rsidR="005D0F20" w:rsidRPr="00CD7EA4">
        <w:rPr>
          <w:lang w:val="en-GB"/>
        </w:rPr>
        <w:t xml:space="preserve"> </w:t>
      </w:r>
      <w:proofErr w:type="spellStart"/>
      <w:r w:rsidR="005D0F20" w:rsidRPr="00CD7EA4">
        <w:rPr>
          <w:lang w:val="en-GB"/>
        </w:rPr>
        <w:t>CCyB</w:t>
      </w:r>
      <w:proofErr w:type="spellEnd"/>
      <w:r w:rsidR="005D0F20" w:rsidRPr="00CD7EA4">
        <w:rPr>
          <w:lang w:val="en-GB"/>
        </w:rPr>
        <w:t xml:space="preserve"> rate </w:t>
      </w:r>
      <w:r w:rsidRPr="00CD7EA4">
        <w:rPr>
          <w:lang w:val="en-GB"/>
        </w:rPr>
        <w:t>decision-making with</w:t>
      </w:r>
      <w:r w:rsidR="005D0F20" w:rsidRPr="00CD7EA4">
        <w:rPr>
          <w:lang w:val="en-GB"/>
        </w:rPr>
        <w:t xml:space="preserve"> bank </w:t>
      </w:r>
      <w:r w:rsidRPr="00CD7EA4">
        <w:rPr>
          <w:lang w:val="en-GB"/>
        </w:rPr>
        <w:t xml:space="preserve">stress testing. The </w:t>
      </w:r>
      <w:r w:rsidR="0072190A" w:rsidRPr="00CD7EA4">
        <w:rPr>
          <w:lang w:val="en-GB"/>
        </w:rPr>
        <w:t>crudest</w:t>
      </w:r>
      <w:r w:rsidRPr="00CD7EA4">
        <w:rPr>
          <w:lang w:val="en-GB"/>
        </w:rPr>
        <w:t xml:space="preserve"> option is to compare the overall impact of the adverse shock with the sum of the capital conservation buffer (</w:t>
      </w:r>
      <w:proofErr w:type="spellStart"/>
      <w:r w:rsidRPr="00CD7EA4">
        <w:rPr>
          <w:lang w:val="en-GB"/>
        </w:rPr>
        <w:t>CC</w:t>
      </w:r>
      <w:r w:rsidR="001056F4">
        <w:rPr>
          <w:lang w:val="en-GB"/>
        </w:rPr>
        <w:t>o</w:t>
      </w:r>
      <w:r w:rsidRPr="00CD7EA4">
        <w:rPr>
          <w:lang w:val="en-GB"/>
        </w:rPr>
        <w:t>B</w:t>
      </w:r>
      <w:proofErr w:type="spellEnd"/>
      <w:r w:rsidRPr="00CD7EA4">
        <w:rPr>
          <w:lang w:val="en-GB"/>
        </w:rPr>
        <w:t xml:space="preserve">) and the </w:t>
      </w:r>
      <w:proofErr w:type="spellStart"/>
      <w:r w:rsidRPr="00CD7EA4">
        <w:rPr>
          <w:lang w:val="en-GB"/>
        </w:rPr>
        <w:t>CCyB</w:t>
      </w:r>
      <w:proofErr w:type="spellEnd"/>
      <w:r w:rsidRPr="00CD7EA4">
        <w:rPr>
          <w:lang w:val="en-GB"/>
        </w:rPr>
        <w:t>.</w:t>
      </w:r>
      <w:r w:rsidR="00360910" w:rsidRPr="00CD7EA4">
        <w:rPr>
          <w:lang w:val="en-GB"/>
        </w:rPr>
        <w:t xml:space="preserve"> If the </w:t>
      </w:r>
      <w:proofErr w:type="spellStart"/>
      <w:r w:rsidR="00360910" w:rsidRPr="00CD7EA4">
        <w:rPr>
          <w:lang w:val="en-GB"/>
        </w:rPr>
        <w:t>CC</w:t>
      </w:r>
      <w:r w:rsidR="001056F4">
        <w:rPr>
          <w:lang w:val="en-GB"/>
        </w:rPr>
        <w:t>o</w:t>
      </w:r>
      <w:r w:rsidR="00360910" w:rsidRPr="00CD7EA4">
        <w:rPr>
          <w:lang w:val="en-GB"/>
        </w:rPr>
        <w:t>B</w:t>
      </w:r>
      <w:proofErr w:type="spellEnd"/>
      <w:r w:rsidR="00360910" w:rsidRPr="00CD7EA4">
        <w:rPr>
          <w:lang w:val="en-GB"/>
        </w:rPr>
        <w:t xml:space="preserve"> and the </w:t>
      </w:r>
      <w:proofErr w:type="spellStart"/>
      <w:r w:rsidR="00360910" w:rsidRPr="00CD7EA4">
        <w:rPr>
          <w:lang w:val="en-GB"/>
        </w:rPr>
        <w:t>CCyB</w:t>
      </w:r>
      <w:proofErr w:type="spellEnd"/>
      <w:r w:rsidR="00360910" w:rsidRPr="00CD7EA4">
        <w:rPr>
          <w:lang w:val="en-GB"/>
        </w:rPr>
        <w:t xml:space="preserve"> are not capable of absorbing the simulated decrease in capital at the sector level in the </w:t>
      </w:r>
      <w:r w:rsidR="00360910" w:rsidRPr="00CD7EA4">
        <w:rPr>
          <w:i/>
          <w:lang w:val="en-GB"/>
        </w:rPr>
        <w:t>Adverse Scenario</w:t>
      </w:r>
      <w:r w:rsidR="00360910" w:rsidRPr="00CD7EA4">
        <w:rPr>
          <w:lang w:val="en-GB"/>
        </w:rPr>
        <w:t>,</w:t>
      </w:r>
      <w:r w:rsidR="004D3402" w:rsidRPr="00CD7EA4">
        <w:rPr>
          <w:lang w:val="en-GB"/>
        </w:rPr>
        <w:t xml:space="preserve"> the </w:t>
      </w:r>
      <w:proofErr w:type="spellStart"/>
      <w:r w:rsidR="004D3402" w:rsidRPr="00CD7EA4">
        <w:rPr>
          <w:lang w:val="en-GB"/>
        </w:rPr>
        <w:t>macroprudential</w:t>
      </w:r>
      <w:proofErr w:type="spellEnd"/>
      <w:r w:rsidR="004D3402" w:rsidRPr="00CD7EA4">
        <w:rPr>
          <w:lang w:val="en-GB"/>
        </w:rPr>
        <w:t xml:space="preserve"> authority may consider raising the </w:t>
      </w:r>
      <w:proofErr w:type="spellStart"/>
      <w:r w:rsidR="004D3402" w:rsidRPr="00CD7EA4">
        <w:rPr>
          <w:lang w:val="en-GB"/>
        </w:rPr>
        <w:t>CCyB</w:t>
      </w:r>
      <w:proofErr w:type="spellEnd"/>
      <w:r w:rsidR="004D3402" w:rsidRPr="00CD7EA4">
        <w:rPr>
          <w:lang w:val="en-GB"/>
        </w:rPr>
        <w:t xml:space="preserve"> rate to </w:t>
      </w:r>
      <w:r w:rsidR="000C3CE5" w:rsidRPr="00CD7EA4">
        <w:rPr>
          <w:lang w:val="en-GB"/>
        </w:rPr>
        <w:t>the</w:t>
      </w:r>
      <w:r w:rsidR="004D3402" w:rsidRPr="00CD7EA4">
        <w:rPr>
          <w:lang w:val="en-GB"/>
        </w:rPr>
        <w:t xml:space="preserve"> level at which the capital </w:t>
      </w:r>
      <w:r w:rsidR="000C3CE5" w:rsidRPr="00CD7EA4">
        <w:rPr>
          <w:lang w:val="en-GB"/>
        </w:rPr>
        <w:t>buffers</w:t>
      </w:r>
      <w:r w:rsidR="004D3402" w:rsidRPr="00CD7EA4">
        <w:rPr>
          <w:lang w:val="en-GB"/>
        </w:rPr>
        <w:t xml:space="preserve"> would be able to absorb</w:t>
      </w:r>
      <w:r w:rsidR="005D0F20" w:rsidRPr="00CD7EA4">
        <w:rPr>
          <w:lang w:val="en-GB"/>
        </w:rPr>
        <w:t xml:space="preserve"> it</w:t>
      </w:r>
      <w:r w:rsidR="004D3402" w:rsidRPr="00CD7EA4">
        <w:rPr>
          <w:lang w:val="en-GB"/>
        </w:rPr>
        <w:t xml:space="preserve"> fully.</w:t>
      </w:r>
      <w:r w:rsidR="007A03ED" w:rsidRPr="00CD7EA4">
        <w:rPr>
          <w:lang w:val="en-GB"/>
        </w:rPr>
        <w:t xml:space="preserve"> </w:t>
      </w:r>
      <w:r w:rsidR="005B77C8" w:rsidRPr="00CD7EA4">
        <w:rPr>
          <w:lang w:val="en-GB"/>
        </w:rPr>
        <w:t>T</w:t>
      </w:r>
      <w:r w:rsidR="007A03ED" w:rsidRPr="00CD7EA4">
        <w:rPr>
          <w:lang w:val="en-GB"/>
        </w:rPr>
        <w:t xml:space="preserve">he impact of the adverse scenarios in the CNB’s macro-stress tests has fluctuated around 5 pp of the </w:t>
      </w:r>
      <w:r w:rsidR="00486C61" w:rsidRPr="00CD7EA4">
        <w:rPr>
          <w:lang w:val="en-GB"/>
        </w:rPr>
        <w:t xml:space="preserve">banking sector’s </w:t>
      </w:r>
      <w:r w:rsidR="007A03ED" w:rsidRPr="00CD7EA4">
        <w:rPr>
          <w:lang w:val="en-GB"/>
        </w:rPr>
        <w:t>capital ratio</w:t>
      </w:r>
      <w:r w:rsidR="005B77C8" w:rsidRPr="00CD7EA4">
        <w:rPr>
          <w:lang w:val="en-GB"/>
        </w:rPr>
        <w:t xml:space="preserve"> in recent years</w:t>
      </w:r>
      <w:r w:rsidR="007A03ED" w:rsidRPr="00CD7EA4">
        <w:rPr>
          <w:lang w:val="en-GB"/>
        </w:rPr>
        <w:t xml:space="preserve">. If this rule were applied purely mechanically, </w:t>
      </w:r>
      <w:r w:rsidR="005B77C8" w:rsidRPr="00CD7EA4">
        <w:rPr>
          <w:lang w:val="en-GB"/>
        </w:rPr>
        <w:t>this</w:t>
      </w:r>
      <w:r w:rsidR="00486C61" w:rsidRPr="00CD7EA4">
        <w:rPr>
          <w:lang w:val="en-GB"/>
        </w:rPr>
        <w:t xml:space="preserve"> impact would imply </w:t>
      </w:r>
      <w:r w:rsidR="00405ED8" w:rsidRPr="00CD7EA4">
        <w:rPr>
          <w:lang w:val="en-GB"/>
        </w:rPr>
        <w:t xml:space="preserve">a </w:t>
      </w:r>
      <w:r w:rsidR="00486C61" w:rsidRPr="00CD7EA4">
        <w:rPr>
          <w:lang w:val="en-GB"/>
        </w:rPr>
        <w:t xml:space="preserve">rate </w:t>
      </w:r>
      <w:r w:rsidR="00405ED8" w:rsidRPr="00CD7EA4">
        <w:rPr>
          <w:lang w:val="en-GB"/>
        </w:rPr>
        <w:t xml:space="preserve">of 2.5% for both buffers. However, this </w:t>
      </w:r>
      <w:r w:rsidR="005B77C8" w:rsidRPr="00CD7EA4">
        <w:rPr>
          <w:lang w:val="en-GB"/>
        </w:rPr>
        <w:t>is</w:t>
      </w:r>
      <w:r w:rsidR="00405ED8" w:rsidRPr="00CD7EA4">
        <w:rPr>
          <w:lang w:val="en-GB"/>
        </w:rPr>
        <w:t xml:space="preserve"> too </w:t>
      </w:r>
      <w:r w:rsidR="0072190A" w:rsidRPr="00CD7EA4">
        <w:rPr>
          <w:lang w:val="en-GB"/>
        </w:rPr>
        <w:t>crude</w:t>
      </w:r>
      <w:r w:rsidR="00405ED8" w:rsidRPr="00CD7EA4">
        <w:rPr>
          <w:lang w:val="en-GB"/>
        </w:rPr>
        <w:t xml:space="preserve"> an approach, among other things</w:t>
      </w:r>
      <w:r w:rsidR="005B77C8" w:rsidRPr="00CD7EA4">
        <w:rPr>
          <w:lang w:val="en-GB"/>
        </w:rPr>
        <w:t xml:space="preserve"> because it does</w:t>
      </w:r>
      <w:r w:rsidR="00405ED8" w:rsidRPr="00CD7EA4">
        <w:rPr>
          <w:lang w:val="en-GB"/>
        </w:rPr>
        <w:t xml:space="preserve"> not take into account the </w:t>
      </w:r>
      <w:r w:rsidR="002E0529">
        <w:rPr>
          <w:lang w:val="en-GB"/>
        </w:rPr>
        <w:t>banks’ own prudent approach (e.g. provisioning).</w:t>
      </w:r>
      <w:r w:rsidR="00632179">
        <w:rPr>
          <w:lang w:val="en-GB"/>
        </w:rPr>
        <w:t xml:space="preserve"> </w:t>
      </w:r>
      <w:r w:rsidR="0008186B" w:rsidRPr="00CD7EA4">
        <w:rPr>
          <w:lang w:val="en-GB"/>
        </w:rPr>
        <w:t xml:space="preserve">A more sensitive option is to compare the credit losses in the </w:t>
      </w:r>
      <w:r w:rsidR="0008186B" w:rsidRPr="00CD7EA4">
        <w:rPr>
          <w:i/>
          <w:lang w:val="en-GB"/>
        </w:rPr>
        <w:t>Adverse Scenario</w:t>
      </w:r>
      <w:r w:rsidR="0008186B" w:rsidRPr="00CD7EA4">
        <w:rPr>
          <w:lang w:val="en-GB"/>
        </w:rPr>
        <w:t xml:space="preserve"> with the expected losses in the </w:t>
      </w:r>
      <w:r w:rsidR="0008186B" w:rsidRPr="00CD7EA4">
        <w:rPr>
          <w:i/>
          <w:lang w:val="en-GB"/>
        </w:rPr>
        <w:t>Baseline Scenario</w:t>
      </w:r>
      <w:r w:rsidR="00331349" w:rsidRPr="00CD7EA4">
        <w:rPr>
          <w:lang w:val="en-GB"/>
        </w:rPr>
        <w:t xml:space="preserve">. </w:t>
      </w:r>
    </w:p>
    <w:p w:rsidR="00920317" w:rsidRPr="00CD7EA4" w:rsidRDefault="004F45D3" w:rsidP="00632179">
      <w:pPr>
        <w:pStyle w:val="Hlavnitext"/>
        <w:spacing w:after="0"/>
        <w:rPr>
          <w:lang w:val="en-GB"/>
        </w:rPr>
      </w:pPr>
      <w:r w:rsidRPr="00CD7EA4">
        <w:rPr>
          <w:lang w:val="en-GB"/>
        </w:rPr>
        <w:t xml:space="preserve">The point of the </w:t>
      </w:r>
      <w:r w:rsidRPr="00CD7EA4">
        <w:rPr>
          <w:i/>
          <w:lang w:val="en-GB"/>
        </w:rPr>
        <w:t>Adverse Scenario</w:t>
      </w:r>
      <w:r w:rsidRPr="00CD7EA4">
        <w:rPr>
          <w:lang w:val="en-GB"/>
        </w:rPr>
        <w:t xml:space="preserve"> is to test the resilience of the banking sector</w:t>
      </w:r>
      <w:r w:rsidR="00303371" w:rsidRPr="00CD7EA4">
        <w:rPr>
          <w:lang w:val="en-GB"/>
        </w:rPr>
        <w:t xml:space="preserve"> to an exceptionally large and </w:t>
      </w:r>
      <w:r w:rsidR="0051461D" w:rsidRPr="00CD7EA4">
        <w:rPr>
          <w:lang w:val="en-GB"/>
        </w:rPr>
        <w:t>implausible</w:t>
      </w:r>
      <w:r w:rsidR="00303371" w:rsidRPr="00CD7EA4">
        <w:rPr>
          <w:lang w:val="en-GB"/>
        </w:rPr>
        <w:t xml:space="preserve"> stress. One could therefore argue that considerations about the </w:t>
      </w:r>
      <w:proofErr w:type="spellStart"/>
      <w:r w:rsidR="00303371" w:rsidRPr="00CD7EA4">
        <w:rPr>
          <w:lang w:val="en-GB"/>
        </w:rPr>
        <w:t>CCyB</w:t>
      </w:r>
      <w:proofErr w:type="spellEnd"/>
      <w:r w:rsidR="00303371" w:rsidRPr="00CD7EA4">
        <w:rPr>
          <w:lang w:val="en-GB"/>
        </w:rPr>
        <w:t xml:space="preserve"> rate should take into account the fact that the probability of such situations occurring varies across the phases of the financial cycle. For example, the probability of a crisis </w:t>
      </w:r>
      <w:r w:rsidR="00E4517F" w:rsidRPr="00CD7EA4">
        <w:rPr>
          <w:lang w:val="en-GB"/>
        </w:rPr>
        <w:t xml:space="preserve">is much higher </w:t>
      </w:r>
      <w:r w:rsidR="00303371" w:rsidRPr="00CD7EA4">
        <w:rPr>
          <w:lang w:val="en-GB"/>
        </w:rPr>
        <w:t xml:space="preserve">in a strongly expansionary phase of the cycle than </w:t>
      </w:r>
      <w:r w:rsidR="0051461D" w:rsidRPr="00CD7EA4">
        <w:rPr>
          <w:lang w:val="en-GB"/>
        </w:rPr>
        <w:t>when</w:t>
      </w:r>
      <w:r w:rsidR="00303371" w:rsidRPr="00CD7EA4">
        <w:rPr>
          <w:lang w:val="en-GB"/>
        </w:rPr>
        <w:t xml:space="preserve"> </w:t>
      </w:r>
      <w:r w:rsidR="0051461D" w:rsidRPr="00CD7EA4">
        <w:rPr>
          <w:lang w:val="en-GB"/>
        </w:rPr>
        <w:t>the</w:t>
      </w:r>
      <w:r w:rsidR="00303371" w:rsidRPr="00CD7EA4">
        <w:rPr>
          <w:lang w:val="en-GB"/>
        </w:rPr>
        <w:t xml:space="preserve"> subdued economy</w:t>
      </w:r>
      <w:r w:rsidR="001D26C7" w:rsidRPr="00CD7EA4">
        <w:rPr>
          <w:lang w:val="en-GB"/>
        </w:rPr>
        <w:t xml:space="preserve"> is just starting to recover. An estimate of the </w:t>
      </w:r>
      <w:r w:rsidR="00B601AD" w:rsidRPr="00CD7EA4">
        <w:rPr>
          <w:lang w:val="en-GB"/>
        </w:rPr>
        <w:t xml:space="preserve">conditional </w:t>
      </w:r>
      <w:r w:rsidR="001D26C7" w:rsidRPr="00CD7EA4">
        <w:rPr>
          <w:lang w:val="en-GB"/>
        </w:rPr>
        <w:t xml:space="preserve">credit loss </w:t>
      </w:r>
      <w:r w:rsidR="00E4517F" w:rsidRPr="00CD7EA4">
        <w:rPr>
          <w:lang w:val="en-GB"/>
        </w:rPr>
        <w:t xml:space="preserve">probability </w:t>
      </w:r>
      <w:r w:rsidR="001D26C7" w:rsidRPr="00CD7EA4">
        <w:rPr>
          <w:lang w:val="en-GB"/>
        </w:rPr>
        <w:t>distribution can be used for this purpose</w:t>
      </w:r>
      <w:r w:rsidR="00A43C70" w:rsidRPr="00CD7EA4">
        <w:rPr>
          <w:lang w:val="en-GB"/>
        </w:rPr>
        <w:t>. In the case of</w:t>
      </w:r>
      <w:r w:rsidR="00B601AD" w:rsidRPr="00CD7EA4">
        <w:rPr>
          <w:lang w:val="en-GB"/>
        </w:rPr>
        <w:t xml:space="preserve"> the </w:t>
      </w:r>
      <w:r w:rsidR="00A43C70" w:rsidRPr="00CD7EA4">
        <w:rPr>
          <w:lang w:val="en-GB"/>
        </w:rPr>
        <w:t xml:space="preserve">conditional distribution, the potential </w:t>
      </w:r>
      <w:r w:rsidR="0051461D" w:rsidRPr="00CD7EA4">
        <w:rPr>
          <w:lang w:val="en-GB"/>
        </w:rPr>
        <w:t>size</w:t>
      </w:r>
      <w:r w:rsidR="00A43C70" w:rsidRPr="00CD7EA4">
        <w:rPr>
          <w:lang w:val="en-GB"/>
        </w:rPr>
        <w:t xml:space="preserve"> of the losses (the variance and shape of the distribution) differs depending on the current phase of the cycle. </w:t>
      </w:r>
      <w:r w:rsidR="006359FF" w:rsidRPr="00CD7EA4">
        <w:rPr>
          <w:lang w:val="en-GB"/>
        </w:rPr>
        <w:t>In simplified terms</w:t>
      </w:r>
      <w:r w:rsidR="00A43C70" w:rsidRPr="00CD7EA4">
        <w:rPr>
          <w:lang w:val="en-GB"/>
        </w:rPr>
        <w:t>, the risk of a crisis</w:t>
      </w:r>
      <w:r w:rsidR="0051461D" w:rsidRPr="00CD7EA4">
        <w:rPr>
          <w:lang w:val="en-GB"/>
        </w:rPr>
        <w:t xml:space="preserve"> </w:t>
      </w:r>
      <w:r w:rsidR="00B601AD" w:rsidRPr="00CD7EA4">
        <w:rPr>
          <w:lang w:val="en-GB"/>
        </w:rPr>
        <w:t>– and hence also the probability of greater cumulative losses in future –</w:t>
      </w:r>
      <w:r w:rsidR="00594515" w:rsidRPr="00CD7EA4">
        <w:rPr>
          <w:lang w:val="en-GB"/>
        </w:rPr>
        <w:t xml:space="preserve"> </w:t>
      </w:r>
      <w:r w:rsidR="0051461D" w:rsidRPr="00CD7EA4">
        <w:rPr>
          <w:lang w:val="en-GB"/>
        </w:rPr>
        <w:t xml:space="preserve">steadily </w:t>
      </w:r>
      <w:r w:rsidR="00B601AD" w:rsidRPr="00CD7EA4">
        <w:rPr>
          <w:lang w:val="en-GB"/>
        </w:rPr>
        <w:t xml:space="preserve">increases </w:t>
      </w:r>
      <w:r w:rsidR="00594515" w:rsidRPr="00CD7EA4">
        <w:rPr>
          <w:lang w:val="en-GB"/>
        </w:rPr>
        <w:t xml:space="preserve">as the economy moves into the expansion phase of the cycle. </w:t>
      </w:r>
      <w:r w:rsidR="00B601AD" w:rsidRPr="00CD7EA4">
        <w:rPr>
          <w:lang w:val="en-GB"/>
        </w:rPr>
        <w:t xml:space="preserve">To ensure consistency with the most </w:t>
      </w:r>
      <w:r w:rsidR="0051461D" w:rsidRPr="00CD7EA4">
        <w:rPr>
          <w:lang w:val="en-GB"/>
        </w:rPr>
        <w:t>likely</w:t>
      </w:r>
      <w:r w:rsidR="00B601AD" w:rsidRPr="00CD7EA4">
        <w:rPr>
          <w:lang w:val="en-GB"/>
        </w:rPr>
        <w:t xml:space="preserve"> outcome, the conditional distribution is constructed </w:t>
      </w:r>
      <w:r w:rsidR="0051461D" w:rsidRPr="00CD7EA4">
        <w:rPr>
          <w:lang w:val="en-GB"/>
        </w:rPr>
        <w:t>in such a way</w:t>
      </w:r>
      <w:r w:rsidR="00B601AD" w:rsidRPr="00CD7EA4">
        <w:rPr>
          <w:lang w:val="en-GB"/>
        </w:rPr>
        <w:t xml:space="preserve"> that the expected size of the losses (the expected value of the distribution) always matches the losses in the</w:t>
      </w:r>
      <w:r w:rsidR="00B601AD" w:rsidRPr="00CD7EA4">
        <w:rPr>
          <w:i/>
          <w:lang w:val="en-GB"/>
        </w:rPr>
        <w:t xml:space="preserve"> Baseline Scenario</w:t>
      </w:r>
      <w:r w:rsidR="00920317" w:rsidRPr="00CD7EA4">
        <w:rPr>
          <w:lang w:val="en-GB"/>
        </w:rPr>
        <w:t xml:space="preserve">. </w:t>
      </w:r>
    </w:p>
    <w:p w:rsidR="00CC0267" w:rsidRPr="00CD7EA4" w:rsidRDefault="00F378C4" w:rsidP="00632179">
      <w:pPr>
        <w:pStyle w:val="Hlavnitext"/>
        <w:spacing w:after="0"/>
        <w:rPr>
          <w:lang w:val="en-GB"/>
        </w:rPr>
      </w:pPr>
      <w:r w:rsidRPr="00CD7EA4">
        <w:rPr>
          <w:lang w:val="en-GB"/>
        </w:rPr>
        <w:t>Owing to</w:t>
      </w:r>
      <w:r w:rsidR="00B601AD" w:rsidRPr="00CD7EA4">
        <w:rPr>
          <w:lang w:val="en-GB"/>
        </w:rPr>
        <w:t xml:space="preserve"> the complex</w:t>
      </w:r>
      <w:r w:rsidR="0051461D" w:rsidRPr="00CD7EA4">
        <w:rPr>
          <w:lang w:val="en-GB"/>
        </w:rPr>
        <w:t>ity</w:t>
      </w:r>
      <w:r w:rsidR="00B601AD" w:rsidRPr="00CD7EA4">
        <w:rPr>
          <w:lang w:val="en-GB"/>
        </w:rPr>
        <w:t xml:space="preserve"> of stress testing, the conditional loss distribution</w:t>
      </w:r>
      <w:r w:rsidR="00EE2F2F" w:rsidRPr="00CD7EA4">
        <w:rPr>
          <w:lang w:val="en-GB"/>
        </w:rPr>
        <w:t xml:space="preserve"> cannot be derived mathematically</w:t>
      </w:r>
      <w:r w:rsidR="00B8733C" w:rsidRPr="00CD7EA4">
        <w:rPr>
          <w:lang w:val="en-GB"/>
        </w:rPr>
        <w:t xml:space="preserve"> and must be estimated using simulation techniques. The principl</w:t>
      </w:r>
      <w:r w:rsidRPr="00CD7EA4">
        <w:rPr>
          <w:lang w:val="en-GB"/>
        </w:rPr>
        <w:t>e</w:t>
      </w:r>
      <w:r w:rsidR="00B8733C" w:rsidRPr="00CD7EA4">
        <w:rPr>
          <w:lang w:val="en-GB"/>
        </w:rPr>
        <w:t xml:space="preserve"> consists in simulating a large number of alternative paths for the stress test input variables and calculating the corresponding cumulative losses for each of them. </w:t>
      </w:r>
      <w:r w:rsidR="00560947" w:rsidRPr="00CD7EA4">
        <w:rPr>
          <w:lang w:val="en-GB"/>
        </w:rPr>
        <w:t>An empirical estimate of the probability distribution is then obtained by summarising the losses simulated in this way. The technique for generating the alternative paths is based on the maximum entropy bootstrap method</w:t>
      </w:r>
      <w:r w:rsidR="00920317" w:rsidRPr="00CD7EA4">
        <w:rPr>
          <w:lang w:val="en-GB"/>
        </w:rPr>
        <w:t xml:space="preserve"> (</w:t>
      </w:r>
      <w:r w:rsidR="00632388" w:rsidRPr="00CD7EA4">
        <w:rPr>
          <w:lang w:val="en-GB"/>
        </w:rPr>
        <w:t xml:space="preserve">see </w:t>
      </w:r>
      <w:r w:rsidR="00920317" w:rsidRPr="00CD7EA4">
        <w:rPr>
          <w:lang w:val="en-GB"/>
        </w:rPr>
        <w:t>Vinod, 2006).</w:t>
      </w:r>
      <w:r w:rsidR="00003598" w:rsidRPr="00CD7EA4">
        <w:rPr>
          <w:rStyle w:val="Znakapoznpodarou"/>
          <w:lang w:val="en-GB"/>
        </w:rPr>
        <w:footnoteReference w:id="7"/>
      </w:r>
      <w:r w:rsidR="004F15AF" w:rsidRPr="00CD7EA4">
        <w:rPr>
          <w:lang w:val="en-GB"/>
        </w:rPr>
        <w:t xml:space="preserve"> The </w:t>
      </w:r>
      <w:r w:rsidR="00F878F0" w:rsidRPr="00CD7EA4">
        <w:rPr>
          <w:lang w:val="en-GB"/>
        </w:rPr>
        <w:t xml:space="preserve">size of the deviation of the simulated paths from the </w:t>
      </w:r>
      <w:r w:rsidR="00F878F0" w:rsidRPr="00CD7EA4">
        <w:rPr>
          <w:i/>
          <w:lang w:val="en-GB"/>
        </w:rPr>
        <w:t xml:space="preserve">Baseline </w:t>
      </w:r>
      <w:r w:rsidR="00F878F0" w:rsidRPr="00CD7EA4">
        <w:rPr>
          <w:i/>
          <w:lang w:val="en-GB"/>
        </w:rPr>
        <w:lastRenderedPageBreak/>
        <w:t>Scenario</w:t>
      </w:r>
      <w:r w:rsidR="00F878F0" w:rsidRPr="00CD7EA4">
        <w:rPr>
          <w:lang w:val="en-GB"/>
        </w:rPr>
        <w:t xml:space="preserve"> projection</w:t>
      </w:r>
      <w:r w:rsidR="004F15AF" w:rsidRPr="00CD7EA4">
        <w:rPr>
          <w:lang w:val="en-GB"/>
        </w:rPr>
        <w:t xml:space="preserve"> can be regulated by changing the settings of the input parameters of the chosen method</w:t>
      </w:r>
      <w:r w:rsidR="00F878F0" w:rsidRPr="00CD7EA4">
        <w:rPr>
          <w:lang w:val="en-GB"/>
        </w:rPr>
        <w:t xml:space="preserve">. </w:t>
      </w:r>
      <w:r w:rsidR="004F15AF" w:rsidRPr="00CD7EA4">
        <w:rPr>
          <w:lang w:val="en-GB"/>
        </w:rPr>
        <w:t xml:space="preserve">The degree of deviation is set by the CNB depending on the current phase of the financial cycle. The specific values of the time-varying parameters are obtained by solving </w:t>
      </w:r>
      <w:r w:rsidR="00DD7E99" w:rsidRPr="00CD7EA4">
        <w:rPr>
          <w:lang w:val="en-GB"/>
        </w:rPr>
        <w:t>an</w:t>
      </w:r>
      <w:r w:rsidR="004F15AF" w:rsidRPr="00CD7EA4">
        <w:rPr>
          <w:lang w:val="en-GB"/>
        </w:rPr>
        <w:t xml:space="preserve"> optimisation problem tak</w:t>
      </w:r>
      <w:r w:rsidR="00DD7E99" w:rsidRPr="00CD7EA4">
        <w:rPr>
          <w:lang w:val="en-GB"/>
        </w:rPr>
        <w:t>ing</w:t>
      </w:r>
      <w:r w:rsidR="004F15AF" w:rsidRPr="00CD7EA4">
        <w:rPr>
          <w:lang w:val="en-GB"/>
        </w:rPr>
        <w:t xml:space="preserve"> into account, among other things, the size of the past differences between the losses </w:t>
      </w:r>
      <w:r w:rsidR="00DD7E99" w:rsidRPr="00CD7EA4">
        <w:rPr>
          <w:lang w:val="en-GB"/>
        </w:rPr>
        <w:t>in</w:t>
      </w:r>
      <w:r w:rsidR="004F15AF" w:rsidRPr="00CD7EA4">
        <w:rPr>
          <w:lang w:val="en-GB"/>
        </w:rPr>
        <w:t xml:space="preserve"> the </w:t>
      </w:r>
      <w:r w:rsidR="004F15AF" w:rsidRPr="00CD7EA4">
        <w:rPr>
          <w:i/>
          <w:lang w:val="en-GB"/>
        </w:rPr>
        <w:t>Baseline Scenario</w:t>
      </w:r>
      <w:r w:rsidR="004F15AF" w:rsidRPr="00CD7EA4">
        <w:rPr>
          <w:lang w:val="en-GB"/>
        </w:rPr>
        <w:t xml:space="preserve"> and the actual losses</w:t>
      </w:r>
      <w:r w:rsidR="00920317" w:rsidRPr="00CD7EA4">
        <w:rPr>
          <w:lang w:val="en-GB"/>
        </w:rPr>
        <w:t>.</w:t>
      </w:r>
    </w:p>
    <w:p w:rsidR="00477BF2" w:rsidRPr="00CD7EA4" w:rsidRDefault="004F15AF" w:rsidP="00632179">
      <w:pPr>
        <w:pStyle w:val="Hlavnitext"/>
        <w:spacing w:after="0"/>
        <w:rPr>
          <w:lang w:val="en-GB"/>
        </w:rPr>
      </w:pPr>
      <w:r w:rsidRPr="00CD7EA4">
        <w:rPr>
          <w:lang w:val="en-GB"/>
        </w:rPr>
        <w:t xml:space="preserve">When deciding on the rate, the </w:t>
      </w:r>
      <w:proofErr w:type="spellStart"/>
      <w:r w:rsidRPr="00CD7EA4">
        <w:rPr>
          <w:lang w:val="en-GB"/>
        </w:rPr>
        <w:t>macroprudential</w:t>
      </w:r>
      <w:proofErr w:type="spellEnd"/>
      <w:r w:rsidRPr="00CD7EA4">
        <w:rPr>
          <w:lang w:val="en-GB"/>
        </w:rPr>
        <w:t xml:space="preserve"> authority can then</w:t>
      </w:r>
      <w:r w:rsidR="0009079F">
        <w:rPr>
          <w:lang w:val="en-GB"/>
        </w:rPr>
        <w:t xml:space="preserve"> </w:t>
      </w:r>
      <w:r w:rsidRPr="00CD7EA4">
        <w:rPr>
          <w:lang w:val="en-GB"/>
        </w:rPr>
        <w:t>choose</w:t>
      </w:r>
      <w:r w:rsidR="00D84CF8" w:rsidRPr="00CD7EA4">
        <w:rPr>
          <w:lang w:val="en-GB"/>
        </w:rPr>
        <w:t xml:space="preserve"> </w:t>
      </w:r>
      <w:r w:rsidR="002E0529">
        <w:rPr>
          <w:lang w:val="en-GB"/>
        </w:rPr>
        <w:t xml:space="preserve">its own level of sensitivity </w:t>
      </w:r>
      <w:r w:rsidR="00AE2F6A">
        <w:rPr>
          <w:lang w:val="en-GB"/>
        </w:rPr>
        <w:t xml:space="preserve">to </w:t>
      </w:r>
      <w:r w:rsidR="002E0529">
        <w:rPr>
          <w:lang w:val="en-GB"/>
        </w:rPr>
        <w:t xml:space="preserve">unexpected events. </w:t>
      </w:r>
      <w:r w:rsidR="00D84CF8" w:rsidRPr="00CD7EA4">
        <w:rPr>
          <w:lang w:val="en-GB"/>
        </w:rPr>
        <w:t xml:space="preserve">Like most </w:t>
      </w:r>
      <w:proofErr w:type="spellStart"/>
      <w:r w:rsidR="00D84CF8" w:rsidRPr="00CD7EA4">
        <w:rPr>
          <w:lang w:val="en-GB"/>
        </w:rPr>
        <w:t>macroprudential</w:t>
      </w:r>
      <w:proofErr w:type="spellEnd"/>
      <w:r w:rsidR="00D84CF8" w:rsidRPr="00CD7EA4">
        <w:rPr>
          <w:lang w:val="en-GB"/>
        </w:rPr>
        <w:t xml:space="preserve"> and supervisory authorities in other advanced countries, the CNB prefers a prudential approach</w:t>
      </w:r>
      <w:r w:rsidR="00205CF2" w:rsidRPr="00CD7EA4">
        <w:rPr>
          <w:lang w:val="en-GB"/>
        </w:rPr>
        <w:t>, i.e. it</w:t>
      </w:r>
      <w:r w:rsidR="00DD7E99" w:rsidRPr="00CD7EA4">
        <w:rPr>
          <w:lang w:val="en-GB"/>
        </w:rPr>
        <w:t xml:space="preserve"> </w:t>
      </w:r>
      <w:r w:rsidR="00205CF2" w:rsidRPr="00CD7EA4">
        <w:rPr>
          <w:lang w:val="en-GB"/>
        </w:rPr>
        <w:t xml:space="preserve">tries to ensure that there are </w:t>
      </w:r>
      <w:r w:rsidR="001F2E95" w:rsidRPr="00CD7EA4">
        <w:rPr>
          <w:lang w:val="en-GB"/>
        </w:rPr>
        <w:t xml:space="preserve">sufficient buffers in place to cover even relatively unlikely </w:t>
      </w:r>
      <w:r w:rsidR="00B03198">
        <w:rPr>
          <w:lang w:val="en-GB"/>
        </w:rPr>
        <w:t xml:space="preserve">credit </w:t>
      </w:r>
      <w:r w:rsidR="001F2E95" w:rsidRPr="00CD7EA4">
        <w:rPr>
          <w:lang w:val="en-GB"/>
        </w:rPr>
        <w:t>losses.</w:t>
      </w:r>
      <w:r w:rsidR="00DA2ABC" w:rsidRPr="00CD7EA4">
        <w:rPr>
          <w:lang w:val="en-GB"/>
        </w:rPr>
        <w:t xml:space="preserve"> This corresponds to the 99% quantile of the probability distribution</w:t>
      </w:r>
      <w:r w:rsidR="00632179">
        <w:rPr>
          <w:lang w:val="en-GB"/>
        </w:rPr>
        <w:t>.</w:t>
      </w:r>
    </w:p>
    <w:p w:rsidR="009676DF" w:rsidRDefault="007D38B0" w:rsidP="00632179">
      <w:pPr>
        <w:pStyle w:val="Hlavnitext"/>
        <w:spacing w:after="0"/>
        <w:rPr>
          <w:lang w:val="en-GB"/>
        </w:rPr>
      </w:pPr>
      <w:r w:rsidRPr="00CD7EA4">
        <w:rPr>
          <w:lang w:val="en-GB"/>
        </w:rPr>
        <w:t xml:space="preserve">The need </w:t>
      </w:r>
      <w:r w:rsidR="00205CF2" w:rsidRPr="00CD7EA4">
        <w:rPr>
          <w:lang w:val="en-GB"/>
        </w:rPr>
        <w:t>to raise</w:t>
      </w:r>
      <w:r w:rsidRPr="00CD7EA4">
        <w:rPr>
          <w:lang w:val="en-GB"/>
        </w:rPr>
        <w:t xml:space="preserve"> the rate is naturally lower in the </w:t>
      </w:r>
      <w:r w:rsidR="00AD1F76" w:rsidRPr="00CD7EA4">
        <w:rPr>
          <w:lang w:val="en-GB"/>
        </w:rPr>
        <w:t>case</w:t>
      </w:r>
      <w:r w:rsidRPr="00CD7EA4">
        <w:rPr>
          <w:lang w:val="en-GB"/>
        </w:rPr>
        <w:t xml:space="preserve"> of a less strict approach to setting </w:t>
      </w:r>
      <w:proofErr w:type="spellStart"/>
      <w:r w:rsidRPr="00CD7EA4">
        <w:rPr>
          <w:lang w:val="en-GB"/>
        </w:rPr>
        <w:t>macroprudential</w:t>
      </w:r>
      <w:proofErr w:type="spellEnd"/>
      <w:r w:rsidRPr="00CD7EA4">
        <w:rPr>
          <w:lang w:val="en-GB"/>
        </w:rPr>
        <w:t xml:space="preserve"> tools. For example, if the 60% quantile were </w:t>
      </w:r>
      <w:r w:rsidR="00AD1F76" w:rsidRPr="00CD7EA4">
        <w:rPr>
          <w:lang w:val="en-GB"/>
        </w:rPr>
        <w:t>used</w:t>
      </w:r>
      <w:r w:rsidRPr="00CD7EA4">
        <w:rPr>
          <w:lang w:val="en-GB"/>
        </w:rPr>
        <w:t xml:space="preserve">, the difference would be around CZK 7 billion and a </w:t>
      </w:r>
      <w:proofErr w:type="spellStart"/>
      <w:r w:rsidRPr="00CD7EA4">
        <w:rPr>
          <w:lang w:val="en-GB"/>
        </w:rPr>
        <w:t>CCyB</w:t>
      </w:r>
      <w:proofErr w:type="spellEnd"/>
      <w:r w:rsidRPr="00CD7EA4">
        <w:rPr>
          <w:lang w:val="en-GB"/>
        </w:rPr>
        <w:t xml:space="preserve"> rate of 0.5% would be sufficient to cover this </w:t>
      </w:r>
      <w:r w:rsidR="00AD1F76" w:rsidRPr="00CD7EA4">
        <w:rPr>
          <w:lang w:val="en-GB"/>
        </w:rPr>
        <w:t>level</w:t>
      </w:r>
      <w:r w:rsidRPr="00CD7EA4">
        <w:rPr>
          <w:lang w:val="en-GB"/>
        </w:rPr>
        <w:t xml:space="preserve"> of credit losses.</w:t>
      </w:r>
      <w:r w:rsidR="003734C3" w:rsidRPr="00CD7EA4">
        <w:rPr>
          <w:lang w:val="en-GB"/>
        </w:rPr>
        <w:t xml:space="preserve"> The relationship between the final rate decision and the stress test results is not entirely mechanical, but it does represent a logical enhancement of the forward-looking principle of </w:t>
      </w:r>
      <w:proofErr w:type="spellStart"/>
      <w:r w:rsidR="003734C3" w:rsidRPr="00CD7EA4">
        <w:rPr>
          <w:lang w:val="en-GB"/>
        </w:rPr>
        <w:t>macroprudential</w:t>
      </w:r>
      <w:proofErr w:type="spellEnd"/>
      <w:r w:rsidR="003734C3" w:rsidRPr="00CD7EA4">
        <w:rPr>
          <w:lang w:val="en-GB"/>
        </w:rPr>
        <w:t xml:space="preserve"> policy. This approach to applying stress test results to assess whether capital requirements are adequate is also</w:t>
      </w:r>
      <w:r w:rsidR="00202D7C" w:rsidRPr="00CD7EA4">
        <w:rPr>
          <w:lang w:val="en-GB"/>
        </w:rPr>
        <w:t xml:space="preserve"> being discussed in the context of </w:t>
      </w:r>
      <w:r w:rsidR="003734C3" w:rsidRPr="00CD7EA4">
        <w:rPr>
          <w:lang w:val="en-GB"/>
        </w:rPr>
        <w:t>the planned EBA guidelines on bank stress testing</w:t>
      </w:r>
      <w:r w:rsidR="00CC0267" w:rsidRPr="00CD7EA4">
        <w:rPr>
          <w:lang w:val="en-GB"/>
        </w:rPr>
        <w:t xml:space="preserve"> (EBA, 2015).</w:t>
      </w:r>
    </w:p>
    <w:p w:rsidR="001056F4" w:rsidRPr="00CD7EA4" w:rsidRDefault="00484312" w:rsidP="00127934">
      <w:pPr>
        <w:pStyle w:val="Hlavnitext"/>
        <w:spacing w:after="0"/>
        <w:rPr>
          <w:lang w:val="en-GB"/>
        </w:rPr>
      </w:pPr>
      <w:r>
        <w:rPr>
          <w:lang w:val="en-GB"/>
        </w:rPr>
        <w:t>D</w:t>
      </w:r>
      <w:r w:rsidR="001056F4">
        <w:rPr>
          <w:lang w:val="en-GB"/>
        </w:rPr>
        <w:t>eci</w:t>
      </w:r>
      <w:r>
        <w:rPr>
          <w:lang w:val="en-GB"/>
        </w:rPr>
        <w:t xml:space="preserve">ding on the </w:t>
      </w:r>
      <w:proofErr w:type="spellStart"/>
      <w:r>
        <w:rPr>
          <w:lang w:val="en-GB"/>
        </w:rPr>
        <w:t>CCyB</w:t>
      </w:r>
      <w:proofErr w:type="spellEnd"/>
      <w:r>
        <w:rPr>
          <w:lang w:val="en-GB"/>
        </w:rPr>
        <w:t xml:space="preserve"> rate setting is not mechanically based on</w:t>
      </w:r>
      <w:r w:rsidR="00AE2F6A">
        <w:rPr>
          <w:lang w:val="en-GB"/>
        </w:rPr>
        <w:t xml:space="preserve"> the</w:t>
      </w:r>
      <w:r>
        <w:rPr>
          <w:lang w:val="en-GB"/>
        </w:rPr>
        <w:t xml:space="preserve"> aforementioned approaches. Instead, it reflects </w:t>
      </w:r>
      <w:r w:rsidR="00AE2F6A">
        <w:rPr>
          <w:lang w:val="en-GB"/>
        </w:rPr>
        <w:t xml:space="preserve">a </w:t>
      </w:r>
      <w:r>
        <w:rPr>
          <w:lang w:val="en-GB"/>
        </w:rPr>
        <w:t>complex evaluation</w:t>
      </w:r>
      <w:r w:rsidR="001056F4">
        <w:rPr>
          <w:lang w:val="en-GB"/>
        </w:rPr>
        <w:t xml:space="preserve"> </w:t>
      </w:r>
      <w:r>
        <w:rPr>
          <w:lang w:val="en-GB"/>
        </w:rPr>
        <w:t>of systemic risks.</w:t>
      </w:r>
    </w:p>
    <w:tbl>
      <w:tblPr>
        <w:tblpPr w:leftFromText="141" w:rightFromText="141" w:vertAnchor="text" w:horzAnchor="margin" w:tblpX="74" w:tblpY="74"/>
        <w:tblW w:w="9026" w:type="dxa"/>
        <w:tblLayout w:type="fixed"/>
        <w:tblCellMar>
          <w:top w:w="28" w:type="dxa"/>
        </w:tblCellMar>
        <w:tblLook w:val="01E0" w:firstRow="1" w:lastRow="1" w:firstColumn="1" w:lastColumn="1" w:noHBand="0" w:noVBand="0"/>
      </w:tblPr>
      <w:tblGrid>
        <w:gridCol w:w="8755"/>
        <w:gridCol w:w="271"/>
      </w:tblGrid>
      <w:tr w:rsidR="00077865" w:rsidRPr="00CD7EA4" w:rsidTr="00644469">
        <w:trPr>
          <w:cantSplit/>
          <w:trHeight w:val="2372"/>
        </w:trPr>
        <w:tc>
          <w:tcPr>
            <w:tcW w:w="8755" w:type="dxa"/>
          </w:tcPr>
          <w:p w:rsidR="00077865" w:rsidRDefault="00644469" w:rsidP="00721D47">
            <w:pPr>
              <w:pStyle w:val="Grafjednotky"/>
              <w:framePr w:hSpace="0" w:wrap="auto" w:vAnchor="margin" w:hAnchor="text" w:yAlign="inline"/>
              <w:rPr>
                <w:rFonts w:cs="Arial"/>
                <w:sz w:val="18"/>
                <w:szCs w:val="18"/>
                <w:lang w:val="en-GB"/>
              </w:rPr>
            </w:pPr>
            <w:r w:rsidRPr="00CD7EA4">
              <w:rPr>
                <w:lang w:val="en-GB"/>
              </w:rPr>
              <w:t xml:space="preserve"> </w:t>
            </w:r>
            <w:r w:rsidR="00721D47">
              <w:rPr>
                <w:rFonts w:cs="Arial"/>
                <w:noProof/>
                <w:sz w:val="18"/>
                <w:szCs w:val="18"/>
              </w:rPr>
              <w:drawing>
                <wp:inline distT="0" distB="0" distL="0" distR="0" wp14:anchorId="468B2F52" wp14:editId="26DE9B32">
                  <wp:extent cx="3667125" cy="3267075"/>
                  <wp:effectExtent l="0" t="0" r="9525"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7125" cy="3267075"/>
                          </a:xfrm>
                          <a:prstGeom prst="rect">
                            <a:avLst/>
                          </a:prstGeom>
                          <a:noFill/>
                          <a:ln>
                            <a:noFill/>
                          </a:ln>
                        </pic:spPr>
                      </pic:pic>
                    </a:graphicData>
                  </a:graphic>
                </wp:inline>
              </w:drawing>
            </w:r>
          </w:p>
          <w:p w:rsidR="00644469" w:rsidRPr="00644469" w:rsidRDefault="00644469" w:rsidP="00644469">
            <w:pPr>
              <w:pStyle w:val="grafnazev0"/>
              <w:rPr>
                <w:b w:val="0"/>
                <w:i/>
                <w:lang w:val="en-GB"/>
              </w:rPr>
            </w:pPr>
            <w:r w:rsidRPr="00644469">
              <w:rPr>
                <w:b w:val="0"/>
                <w:i/>
                <w:lang w:val="en-GB"/>
              </w:rPr>
              <w:t>Chart 3: The difference between expected credit losses and alternative quantiles of the credit loss probability distribution (CNB calculations)</w:t>
            </w:r>
          </w:p>
          <w:p w:rsidR="00644469" w:rsidRPr="00CD7EA4" w:rsidRDefault="00644469" w:rsidP="00560947">
            <w:pPr>
              <w:rPr>
                <w:rFonts w:ascii="Arial" w:hAnsi="Arial" w:cs="Arial"/>
                <w:sz w:val="18"/>
                <w:szCs w:val="18"/>
                <w:lang w:val="en-GB"/>
              </w:rPr>
            </w:pPr>
          </w:p>
        </w:tc>
        <w:tc>
          <w:tcPr>
            <w:tcW w:w="271" w:type="dxa"/>
          </w:tcPr>
          <w:p w:rsidR="00077865" w:rsidRPr="00CD7EA4" w:rsidRDefault="00077865" w:rsidP="00560947">
            <w:pPr>
              <w:rPr>
                <w:rFonts w:ascii="Arial" w:hAnsi="Arial" w:cs="Arial"/>
                <w:sz w:val="18"/>
                <w:szCs w:val="18"/>
                <w:lang w:val="en-GB"/>
              </w:rPr>
            </w:pPr>
          </w:p>
        </w:tc>
      </w:tr>
    </w:tbl>
    <w:p w:rsidR="00C1327D" w:rsidRPr="00CD7EA4" w:rsidRDefault="00333D6E" w:rsidP="00644469">
      <w:pPr>
        <w:pStyle w:val="NADPIS10"/>
        <w:spacing w:before="240" w:after="0"/>
        <w:rPr>
          <w:lang w:val="en-GB"/>
        </w:rPr>
      </w:pPr>
      <w:r>
        <w:rPr>
          <w:lang w:val="en-GB"/>
        </w:rPr>
        <w:t xml:space="preserve">5 </w:t>
      </w:r>
      <w:r w:rsidR="00EC3B17" w:rsidRPr="00CD7EA4">
        <w:rPr>
          <w:lang w:val="en-GB"/>
        </w:rPr>
        <w:t>Conclusion</w:t>
      </w:r>
    </w:p>
    <w:p w:rsidR="00CA6C48" w:rsidRPr="00CD7EA4" w:rsidRDefault="00364152" w:rsidP="00127934">
      <w:pPr>
        <w:pStyle w:val="Hlavnitext"/>
        <w:spacing w:after="0"/>
        <w:rPr>
          <w:lang w:val="en-GB"/>
        </w:rPr>
      </w:pPr>
      <w:r w:rsidRPr="00CD7EA4">
        <w:rPr>
          <w:lang w:val="en-GB"/>
        </w:rPr>
        <w:t xml:space="preserve">The decision-making process </w:t>
      </w:r>
      <w:r w:rsidR="00877F69">
        <w:rPr>
          <w:lang w:val="en-GB"/>
        </w:rPr>
        <w:t xml:space="preserve">regarding the </w:t>
      </w:r>
      <w:proofErr w:type="spellStart"/>
      <w:r w:rsidR="00877F69">
        <w:rPr>
          <w:lang w:val="en-GB"/>
        </w:rPr>
        <w:t>CCyB</w:t>
      </w:r>
      <w:proofErr w:type="spellEnd"/>
      <w:r w:rsidR="00877F69">
        <w:rPr>
          <w:lang w:val="en-GB"/>
        </w:rPr>
        <w:t xml:space="preserve"> rate</w:t>
      </w:r>
      <w:r w:rsidRPr="00CD7EA4">
        <w:rPr>
          <w:lang w:val="en-GB"/>
        </w:rPr>
        <w:t xml:space="preserve"> contains both systematic elements and expert judgement and takes the form of </w:t>
      </w:r>
      <w:r w:rsidR="00976A7B">
        <w:rPr>
          <w:lang w:val="en-GB"/>
        </w:rPr>
        <w:t>guided</w:t>
      </w:r>
      <w:r w:rsidR="00976A7B" w:rsidRPr="00CD7EA4">
        <w:rPr>
          <w:lang w:val="en-GB"/>
        </w:rPr>
        <w:t xml:space="preserve"> </w:t>
      </w:r>
      <w:r w:rsidRPr="00CD7EA4">
        <w:rPr>
          <w:lang w:val="en-GB"/>
        </w:rPr>
        <w:t>discretion. The first step is to assess the position of the economy in the financial cycle</w:t>
      </w:r>
      <w:r w:rsidR="00CD7EA4" w:rsidRPr="00CD7EA4">
        <w:rPr>
          <w:lang w:val="en-GB"/>
        </w:rPr>
        <w:t>.</w:t>
      </w:r>
      <w:r w:rsidRPr="00CD7EA4">
        <w:rPr>
          <w:lang w:val="en-GB"/>
        </w:rPr>
        <w:t xml:space="preserve"> </w:t>
      </w:r>
      <w:r w:rsidR="008D330B">
        <w:rPr>
          <w:lang w:val="en-GB"/>
        </w:rPr>
        <w:t xml:space="preserve">Then the </w:t>
      </w:r>
      <w:r w:rsidRPr="00CD7EA4">
        <w:rPr>
          <w:lang w:val="en-GB"/>
        </w:rPr>
        <w:t xml:space="preserve">decision-making on the specific level </w:t>
      </w:r>
      <w:r w:rsidRPr="00CD7EA4">
        <w:rPr>
          <w:lang w:val="en-GB"/>
        </w:rPr>
        <w:lastRenderedPageBreak/>
        <w:t xml:space="preserve">of the </w:t>
      </w:r>
      <w:proofErr w:type="spellStart"/>
      <w:r w:rsidRPr="00CD7EA4">
        <w:rPr>
          <w:lang w:val="en-GB"/>
        </w:rPr>
        <w:t>CCyB</w:t>
      </w:r>
      <w:proofErr w:type="spellEnd"/>
      <w:r w:rsidRPr="00CD7EA4">
        <w:rPr>
          <w:lang w:val="en-GB"/>
        </w:rPr>
        <w:t xml:space="preserve"> rate </w:t>
      </w:r>
      <w:r w:rsidR="008D330B">
        <w:rPr>
          <w:lang w:val="en-GB"/>
        </w:rPr>
        <w:t>has to</w:t>
      </w:r>
      <w:r w:rsidRPr="00CD7EA4">
        <w:rPr>
          <w:lang w:val="en-GB"/>
        </w:rPr>
        <w:t xml:space="preserve"> take into account a wide range of factors, which, in addition to an assessment of the main indicators of the financial cycle, include stress test results and stylised facts about the financial cycle</w:t>
      </w:r>
      <w:r w:rsidR="008D330B" w:rsidRPr="008D330B">
        <w:rPr>
          <w:lang w:val="en-GB"/>
        </w:rPr>
        <w:t xml:space="preserve"> Such approach can be labelled discretion guided by multiple-factor analysis. Putting more weight on formal approaches can only be expected in the future dependent on the accomplishments of research in modelling the financial cycle.</w:t>
      </w:r>
      <w:r w:rsidR="008D330B">
        <w:rPr>
          <w:lang w:val="en-GB"/>
        </w:rPr>
        <w:t xml:space="preserve"> It is a major challenge for future research in the area. </w:t>
      </w:r>
    </w:p>
    <w:p w:rsidR="00127934" w:rsidRPr="00CD7EA4" w:rsidRDefault="00127934" w:rsidP="00127934">
      <w:pPr>
        <w:pStyle w:val="Hlavnitext"/>
        <w:spacing w:after="0"/>
        <w:rPr>
          <w:lang w:val="en-GB"/>
        </w:rPr>
      </w:pPr>
    </w:p>
    <w:p w:rsidR="00630EC6" w:rsidRDefault="00333D6E" w:rsidP="00501A23">
      <w:pPr>
        <w:pStyle w:val="NADPIS10"/>
        <w:spacing w:after="0"/>
        <w:rPr>
          <w:lang w:val="en-GB"/>
        </w:rPr>
      </w:pPr>
      <w:bookmarkStart w:id="5" w:name="_Toc436659542"/>
      <w:bookmarkStart w:id="6" w:name="_Toc436659967"/>
      <w:bookmarkStart w:id="7" w:name="_Toc436661570"/>
      <w:bookmarkStart w:id="8" w:name="_Toc436661684"/>
      <w:r>
        <w:rPr>
          <w:lang w:val="en-GB"/>
        </w:rPr>
        <w:t>6</w:t>
      </w:r>
      <w:r w:rsidRPr="00333D6E">
        <w:rPr>
          <w:lang w:val="en-GB"/>
        </w:rPr>
        <w:t xml:space="preserve"> BIBLIOGRAPHY</w:t>
      </w:r>
    </w:p>
    <w:p w:rsidR="00514337" w:rsidRPr="00CD7EA4" w:rsidRDefault="00514337" w:rsidP="00501A23">
      <w:pPr>
        <w:pStyle w:val="NADPIS10"/>
        <w:spacing w:after="0"/>
        <w:rPr>
          <w:lang w:val="en-GB"/>
        </w:rPr>
      </w:pPr>
    </w:p>
    <w:bookmarkEnd w:id="5"/>
    <w:bookmarkEnd w:id="6"/>
    <w:bookmarkEnd w:id="7"/>
    <w:bookmarkEnd w:id="8"/>
    <w:p w:rsidR="007C60FB" w:rsidRPr="00CD7EA4" w:rsidRDefault="007C60FB" w:rsidP="00CD0A5B">
      <w:pPr>
        <w:pStyle w:val="Hlavnitext"/>
        <w:numPr>
          <w:ilvl w:val="0"/>
          <w:numId w:val="29"/>
        </w:numPr>
        <w:spacing w:after="0"/>
        <w:ind w:left="714" w:hanging="357"/>
        <w:rPr>
          <w:lang w:val="en-GB"/>
        </w:rPr>
      </w:pPr>
      <w:proofErr w:type="spellStart"/>
      <w:r w:rsidRPr="007168B5">
        <w:rPr>
          <w:lang w:val="en-GB"/>
        </w:rPr>
        <w:t>Admati</w:t>
      </w:r>
      <w:proofErr w:type="spellEnd"/>
      <w:r w:rsidRPr="007168B5">
        <w:rPr>
          <w:lang w:val="en-GB"/>
        </w:rPr>
        <w:t xml:space="preserve">, A., </w:t>
      </w:r>
      <w:proofErr w:type="spellStart"/>
      <w:r w:rsidRPr="007168B5">
        <w:rPr>
          <w:lang w:val="en-GB"/>
        </w:rPr>
        <w:t>DeMarzo</w:t>
      </w:r>
      <w:proofErr w:type="spellEnd"/>
      <w:r w:rsidRPr="007168B5">
        <w:rPr>
          <w:lang w:val="en-GB"/>
        </w:rPr>
        <w:t xml:space="preserve">, P., </w:t>
      </w:r>
      <w:proofErr w:type="spellStart"/>
      <w:r w:rsidRPr="007168B5">
        <w:rPr>
          <w:lang w:val="en-GB"/>
        </w:rPr>
        <w:t>Hellwig</w:t>
      </w:r>
      <w:proofErr w:type="spellEnd"/>
      <w:r w:rsidRPr="007168B5">
        <w:rPr>
          <w:lang w:val="en-GB"/>
        </w:rPr>
        <w:t xml:space="preserve">, M., </w:t>
      </w:r>
      <w:proofErr w:type="spellStart"/>
      <w:r w:rsidRPr="007168B5">
        <w:rPr>
          <w:lang w:val="en-GB"/>
        </w:rPr>
        <w:t>Pfleiderer</w:t>
      </w:r>
      <w:proofErr w:type="spellEnd"/>
      <w:r w:rsidRPr="007168B5">
        <w:rPr>
          <w:lang w:val="en-GB"/>
        </w:rPr>
        <w:t>, P.</w:t>
      </w:r>
      <w:r w:rsidRPr="00CD7EA4">
        <w:rPr>
          <w:lang w:val="en-GB"/>
        </w:rPr>
        <w:t xml:space="preserve"> (2011)</w:t>
      </w:r>
      <w:r w:rsidR="002B4418">
        <w:rPr>
          <w:lang w:val="en-GB"/>
        </w:rPr>
        <w:t>.</w:t>
      </w:r>
      <w:r w:rsidRPr="00CD7EA4">
        <w:rPr>
          <w:lang w:val="en-GB"/>
        </w:rPr>
        <w:t xml:space="preserve"> </w:t>
      </w:r>
      <w:r w:rsidRPr="00CD7EA4">
        <w:rPr>
          <w:i/>
          <w:lang w:val="en-GB"/>
        </w:rPr>
        <w:t xml:space="preserve">Fallacies, </w:t>
      </w:r>
      <w:r w:rsidR="0081568F" w:rsidRPr="00CD7EA4">
        <w:rPr>
          <w:i/>
          <w:lang w:val="en-GB"/>
        </w:rPr>
        <w:t>Irrelevant Facts, and Myths in the Discussion of Capital Regulation</w:t>
      </w:r>
      <w:r w:rsidRPr="00CD7EA4">
        <w:rPr>
          <w:i/>
          <w:lang w:val="en-GB"/>
        </w:rPr>
        <w:t xml:space="preserve">: Why </w:t>
      </w:r>
      <w:r w:rsidR="0081568F" w:rsidRPr="00CD7EA4">
        <w:rPr>
          <w:i/>
          <w:lang w:val="en-GB"/>
        </w:rPr>
        <w:t>Bank Equity Is Not Expensive</w:t>
      </w:r>
      <w:r w:rsidR="002B4418">
        <w:rPr>
          <w:i/>
          <w:lang w:val="en-GB"/>
        </w:rPr>
        <w:t>.</w:t>
      </w:r>
      <w:r w:rsidRPr="00CD7EA4">
        <w:rPr>
          <w:lang w:val="en-GB"/>
        </w:rPr>
        <w:t xml:space="preserve"> Stanford Graduate School of Business Research Paper</w:t>
      </w:r>
      <w:r w:rsidR="005D0F20" w:rsidRPr="00CD7EA4">
        <w:rPr>
          <w:lang w:val="en-GB"/>
        </w:rPr>
        <w:t xml:space="preserve"> No. </w:t>
      </w:r>
      <w:r w:rsidRPr="00CD7EA4">
        <w:rPr>
          <w:lang w:val="en-GB"/>
        </w:rPr>
        <w:t>2065.</w:t>
      </w:r>
    </w:p>
    <w:p w:rsidR="002C10DD" w:rsidRPr="00CD7EA4" w:rsidRDefault="002C10DD" w:rsidP="00CD0A5B">
      <w:pPr>
        <w:pStyle w:val="Hlavnitext"/>
        <w:numPr>
          <w:ilvl w:val="0"/>
          <w:numId w:val="29"/>
        </w:numPr>
        <w:spacing w:after="0"/>
        <w:ind w:left="714" w:hanging="357"/>
        <w:rPr>
          <w:lang w:val="en-GB"/>
        </w:rPr>
      </w:pPr>
      <w:r w:rsidRPr="00CD7EA4">
        <w:rPr>
          <w:lang w:val="en-GB"/>
        </w:rPr>
        <w:t>BCBS (2010)</w:t>
      </w:r>
      <w:r w:rsidR="002B4418">
        <w:rPr>
          <w:lang w:val="en-GB"/>
        </w:rPr>
        <w:t>.</w:t>
      </w:r>
      <w:r w:rsidRPr="00CD7EA4">
        <w:rPr>
          <w:lang w:val="en-GB"/>
        </w:rPr>
        <w:t xml:space="preserve"> </w:t>
      </w:r>
      <w:r w:rsidRPr="00CD7EA4">
        <w:rPr>
          <w:i/>
          <w:lang w:val="en-GB"/>
        </w:rPr>
        <w:t xml:space="preserve">Guidance for </w:t>
      </w:r>
      <w:r w:rsidR="00E86D0A" w:rsidRPr="00CD7EA4">
        <w:rPr>
          <w:i/>
          <w:lang w:val="en-GB"/>
        </w:rPr>
        <w:t>national authorities operating the countercyclical capital buffer</w:t>
      </w:r>
      <w:r w:rsidR="002B4418">
        <w:rPr>
          <w:i/>
          <w:lang w:val="en-GB"/>
        </w:rPr>
        <w:t>.</w:t>
      </w:r>
      <w:r w:rsidRPr="00CD7EA4">
        <w:rPr>
          <w:lang w:val="en-GB"/>
        </w:rPr>
        <w:t xml:space="preserve"> </w:t>
      </w:r>
      <w:r w:rsidR="00C74E9E" w:rsidRPr="00CD7EA4">
        <w:rPr>
          <w:lang w:val="en-GB"/>
        </w:rPr>
        <w:t>Bank for International Settlements</w:t>
      </w:r>
      <w:r w:rsidRPr="00CD7EA4">
        <w:rPr>
          <w:lang w:val="en-GB"/>
        </w:rPr>
        <w:t>, December 2010.</w:t>
      </w:r>
    </w:p>
    <w:p w:rsidR="006E4AE5" w:rsidRPr="00CD7EA4" w:rsidRDefault="006E4AE5" w:rsidP="00CD0A5B">
      <w:pPr>
        <w:pStyle w:val="Hlavnitext"/>
        <w:numPr>
          <w:ilvl w:val="0"/>
          <w:numId w:val="29"/>
        </w:numPr>
        <w:spacing w:after="0"/>
        <w:ind w:left="714" w:hanging="357"/>
        <w:rPr>
          <w:lang w:val="en-GB"/>
        </w:rPr>
      </w:pPr>
      <w:r w:rsidRPr="00CD7EA4">
        <w:rPr>
          <w:lang w:val="en-GB"/>
        </w:rPr>
        <w:t>B</w:t>
      </w:r>
      <w:r w:rsidR="006A68DA" w:rsidRPr="00CD7EA4">
        <w:rPr>
          <w:lang w:val="en-GB"/>
        </w:rPr>
        <w:t>o</w:t>
      </w:r>
      <w:r w:rsidRPr="00CD7EA4">
        <w:rPr>
          <w:lang w:val="en-GB"/>
        </w:rPr>
        <w:t>E (2016)</w:t>
      </w:r>
      <w:r w:rsidR="002B4418">
        <w:rPr>
          <w:lang w:val="en-GB"/>
        </w:rPr>
        <w:t>.</w:t>
      </w:r>
      <w:r w:rsidRPr="00CD7EA4">
        <w:rPr>
          <w:lang w:val="en-GB"/>
        </w:rPr>
        <w:t xml:space="preserve"> </w:t>
      </w:r>
      <w:r w:rsidRPr="00CD7EA4">
        <w:rPr>
          <w:i/>
          <w:lang w:val="en-GB"/>
        </w:rPr>
        <w:t xml:space="preserve">The Financial Policy Committee’s Approach to Setting the Countercyclical Capital Buffer – </w:t>
      </w:r>
      <w:r w:rsidR="00D97505" w:rsidRPr="00CD7EA4">
        <w:rPr>
          <w:i/>
          <w:lang w:val="en-GB"/>
        </w:rPr>
        <w:t>A</w:t>
      </w:r>
      <w:r w:rsidRPr="00CD7EA4">
        <w:rPr>
          <w:i/>
          <w:lang w:val="en-GB"/>
        </w:rPr>
        <w:t xml:space="preserve"> Policy Statement</w:t>
      </w:r>
      <w:r w:rsidR="002B4418">
        <w:rPr>
          <w:i/>
          <w:lang w:val="en-GB"/>
        </w:rPr>
        <w:t>.</w:t>
      </w:r>
      <w:r w:rsidRPr="00CD7EA4">
        <w:rPr>
          <w:lang w:val="en-GB"/>
        </w:rPr>
        <w:t xml:space="preserve"> </w:t>
      </w:r>
      <w:r w:rsidR="00C74E9E" w:rsidRPr="00CD7EA4">
        <w:rPr>
          <w:lang w:val="en-GB"/>
        </w:rPr>
        <w:t>Bank of England</w:t>
      </w:r>
      <w:r w:rsidR="002B4418">
        <w:rPr>
          <w:lang w:val="en-GB"/>
        </w:rPr>
        <w:t>.</w:t>
      </w:r>
      <w:r w:rsidR="006A68DA" w:rsidRPr="00CD7EA4">
        <w:rPr>
          <w:lang w:val="en-GB"/>
        </w:rPr>
        <w:t xml:space="preserve"> April </w:t>
      </w:r>
      <w:r w:rsidRPr="00CD7EA4">
        <w:rPr>
          <w:lang w:val="en-GB"/>
        </w:rPr>
        <w:t xml:space="preserve">2016. </w:t>
      </w:r>
    </w:p>
    <w:p w:rsidR="002C10DD" w:rsidRPr="00CD7EA4" w:rsidRDefault="002C10DD" w:rsidP="00CD0A5B">
      <w:pPr>
        <w:pStyle w:val="Hlavnitext"/>
        <w:numPr>
          <w:ilvl w:val="0"/>
          <w:numId w:val="29"/>
        </w:numPr>
        <w:spacing w:after="0"/>
        <w:ind w:left="714" w:hanging="357"/>
        <w:rPr>
          <w:lang w:val="en-GB"/>
        </w:rPr>
      </w:pPr>
      <w:r w:rsidRPr="00CD7EA4">
        <w:rPr>
          <w:lang w:val="en-GB"/>
        </w:rPr>
        <w:t>B</w:t>
      </w:r>
      <w:r w:rsidR="007168B5">
        <w:rPr>
          <w:lang w:val="en-GB"/>
        </w:rPr>
        <w:t>urns</w:t>
      </w:r>
      <w:r w:rsidRPr="00CD7EA4">
        <w:rPr>
          <w:lang w:val="en-GB"/>
        </w:rPr>
        <w:t>, A. F., M</w:t>
      </w:r>
      <w:r w:rsidR="007168B5">
        <w:rPr>
          <w:lang w:val="en-GB"/>
        </w:rPr>
        <w:t>itchell</w:t>
      </w:r>
      <w:r w:rsidRPr="00CD7EA4">
        <w:rPr>
          <w:lang w:val="en-GB"/>
        </w:rPr>
        <w:t>, W. C. (1946)</w:t>
      </w:r>
      <w:r w:rsidR="002B4418">
        <w:rPr>
          <w:lang w:val="en-GB"/>
        </w:rPr>
        <w:t>.</w:t>
      </w:r>
      <w:r w:rsidRPr="00CD7EA4">
        <w:rPr>
          <w:lang w:val="en-GB"/>
        </w:rPr>
        <w:t xml:space="preserve"> </w:t>
      </w:r>
      <w:r w:rsidRPr="00CD7EA4">
        <w:rPr>
          <w:i/>
          <w:lang w:val="en-GB"/>
        </w:rPr>
        <w:t>Measuring Business Cycles</w:t>
      </w:r>
      <w:r w:rsidRPr="00CD7EA4">
        <w:rPr>
          <w:lang w:val="en-GB"/>
        </w:rPr>
        <w:t>, NBER Books</w:t>
      </w:r>
      <w:r w:rsidR="002B4418">
        <w:rPr>
          <w:lang w:val="en-GB"/>
        </w:rPr>
        <w:t>.</w:t>
      </w:r>
      <w:r w:rsidRPr="00CD7EA4">
        <w:rPr>
          <w:lang w:val="en-GB"/>
        </w:rPr>
        <w:t xml:space="preserve"> National Bureau of Economic Research</w:t>
      </w:r>
      <w:r w:rsidR="002B4418">
        <w:rPr>
          <w:lang w:val="en-GB"/>
        </w:rPr>
        <w:t>.</w:t>
      </w:r>
      <w:r w:rsidRPr="00CD7EA4">
        <w:rPr>
          <w:lang w:val="en-GB"/>
        </w:rPr>
        <w:t xml:space="preserve"> </w:t>
      </w:r>
      <w:r w:rsidR="00486C61" w:rsidRPr="00CD7EA4">
        <w:rPr>
          <w:lang w:val="en-GB"/>
        </w:rPr>
        <w:t>Inc.</w:t>
      </w:r>
      <w:r w:rsidRPr="00CD7EA4">
        <w:rPr>
          <w:lang w:val="en-GB"/>
        </w:rPr>
        <w:t>, number burn</w:t>
      </w:r>
      <w:r w:rsidR="002B4418">
        <w:rPr>
          <w:lang w:val="en-GB"/>
        </w:rPr>
        <w:t xml:space="preserve"> </w:t>
      </w:r>
      <w:r w:rsidRPr="00CD7EA4">
        <w:rPr>
          <w:lang w:val="en-GB"/>
        </w:rPr>
        <w:t>46-1.</w:t>
      </w:r>
    </w:p>
    <w:p w:rsidR="00AF3A1A" w:rsidRPr="00CD7EA4" w:rsidRDefault="00AF3A1A" w:rsidP="00CD0A5B">
      <w:pPr>
        <w:pStyle w:val="Hlavnitext"/>
        <w:numPr>
          <w:ilvl w:val="0"/>
          <w:numId w:val="29"/>
        </w:numPr>
        <w:spacing w:after="0"/>
        <w:ind w:left="714" w:hanging="357"/>
        <w:rPr>
          <w:lang w:val="en-GB"/>
        </w:rPr>
      </w:pPr>
      <w:proofErr w:type="spellStart"/>
      <w:r w:rsidRPr="007168B5">
        <w:rPr>
          <w:lang w:val="en-GB"/>
        </w:rPr>
        <w:t>D</w:t>
      </w:r>
      <w:r w:rsidR="007168B5">
        <w:rPr>
          <w:lang w:val="en-GB"/>
        </w:rPr>
        <w:t>rehmann</w:t>
      </w:r>
      <w:proofErr w:type="spellEnd"/>
      <w:r w:rsidRPr="007168B5">
        <w:rPr>
          <w:lang w:val="en-GB"/>
        </w:rPr>
        <w:t>, M., B</w:t>
      </w:r>
      <w:r w:rsidR="007168B5">
        <w:rPr>
          <w:lang w:val="en-GB"/>
        </w:rPr>
        <w:t>orio</w:t>
      </w:r>
      <w:r w:rsidRPr="007168B5">
        <w:rPr>
          <w:lang w:val="en-GB"/>
        </w:rPr>
        <w:t xml:space="preserve">, C., </w:t>
      </w:r>
      <w:proofErr w:type="spellStart"/>
      <w:r w:rsidRPr="007168B5">
        <w:rPr>
          <w:lang w:val="en-GB"/>
        </w:rPr>
        <w:t>T</w:t>
      </w:r>
      <w:r w:rsidR="007168B5">
        <w:rPr>
          <w:lang w:val="en-GB"/>
        </w:rPr>
        <w:t>satsaronis</w:t>
      </w:r>
      <w:proofErr w:type="spellEnd"/>
      <w:r w:rsidRPr="007168B5">
        <w:rPr>
          <w:lang w:val="en-GB"/>
        </w:rPr>
        <w:t>, K.</w:t>
      </w:r>
      <w:r w:rsidRPr="00CD7EA4">
        <w:rPr>
          <w:lang w:val="en-GB"/>
        </w:rPr>
        <w:t xml:space="preserve"> (2012)</w:t>
      </w:r>
      <w:r w:rsidR="002B4418">
        <w:rPr>
          <w:lang w:val="en-GB"/>
        </w:rPr>
        <w:t>.</w:t>
      </w:r>
      <w:r w:rsidRPr="00CD7EA4">
        <w:rPr>
          <w:lang w:val="en-GB"/>
        </w:rPr>
        <w:t xml:space="preserve"> </w:t>
      </w:r>
      <w:r w:rsidRPr="00CD7EA4">
        <w:rPr>
          <w:i/>
          <w:lang w:val="en-GB"/>
        </w:rPr>
        <w:t xml:space="preserve">Characterising the </w:t>
      </w:r>
      <w:r w:rsidR="0081568F" w:rsidRPr="00CD7EA4">
        <w:rPr>
          <w:i/>
          <w:lang w:val="en-GB"/>
        </w:rPr>
        <w:t>Financial Cycle</w:t>
      </w:r>
      <w:r w:rsidRPr="00CD7EA4">
        <w:rPr>
          <w:i/>
          <w:lang w:val="en-GB"/>
        </w:rPr>
        <w:t xml:space="preserve">: </w:t>
      </w:r>
      <w:r w:rsidR="000E5435" w:rsidRPr="00CD7EA4">
        <w:rPr>
          <w:i/>
          <w:lang w:val="en-GB"/>
        </w:rPr>
        <w:t>D</w:t>
      </w:r>
      <w:r w:rsidRPr="00CD7EA4">
        <w:rPr>
          <w:i/>
          <w:lang w:val="en-GB"/>
        </w:rPr>
        <w:t xml:space="preserve">on’t </w:t>
      </w:r>
      <w:r w:rsidR="0081568F" w:rsidRPr="00CD7EA4">
        <w:rPr>
          <w:i/>
          <w:lang w:val="en-GB"/>
        </w:rPr>
        <w:t>Lose Sight of the Medium Term</w:t>
      </w:r>
      <w:r w:rsidRPr="00CD7EA4">
        <w:rPr>
          <w:i/>
          <w:lang w:val="en-GB"/>
        </w:rPr>
        <w:t>!</w:t>
      </w:r>
      <w:r w:rsidR="00E232CF" w:rsidRPr="00CD7EA4">
        <w:rPr>
          <w:lang w:val="en-GB"/>
        </w:rPr>
        <w:t xml:space="preserve"> BIS Working Paper</w:t>
      </w:r>
      <w:r w:rsidR="005D0F20" w:rsidRPr="00CD7EA4">
        <w:rPr>
          <w:lang w:val="en-GB"/>
        </w:rPr>
        <w:t> </w:t>
      </w:r>
      <w:r w:rsidRPr="00CD7EA4">
        <w:rPr>
          <w:lang w:val="en-GB"/>
        </w:rPr>
        <w:t>380.</w:t>
      </w:r>
    </w:p>
    <w:p w:rsidR="00AF3A1A" w:rsidRPr="00CD7EA4" w:rsidRDefault="00AF3A1A" w:rsidP="00CD0A5B">
      <w:pPr>
        <w:pStyle w:val="Hlavnitext"/>
        <w:numPr>
          <w:ilvl w:val="0"/>
          <w:numId w:val="29"/>
        </w:numPr>
        <w:spacing w:after="0"/>
        <w:ind w:left="714" w:hanging="357"/>
        <w:rPr>
          <w:lang w:val="en-GB"/>
        </w:rPr>
      </w:pPr>
      <w:proofErr w:type="spellStart"/>
      <w:r w:rsidRPr="007168B5">
        <w:rPr>
          <w:lang w:val="en-GB"/>
        </w:rPr>
        <w:t>D</w:t>
      </w:r>
      <w:r w:rsidR="007168B5">
        <w:rPr>
          <w:lang w:val="en-GB"/>
        </w:rPr>
        <w:t>rehmann</w:t>
      </w:r>
      <w:proofErr w:type="spellEnd"/>
      <w:r w:rsidRPr="007168B5">
        <w:rPr>
          <w:lang w:val="en-GB"/>
        </w:rPr>
        <w:t>, M., B</w:t>
      </w:r>
      <w:r w:rsidR="007168B5">
        <w:rPr>
          <w:lang w:val="en-GB"/>
        </w:rPr>
        <w:t>orio</w:t>
      </w:r>
      <w:r w:rsidRPr="007168B5">
        <w:rPr>
          <w:lang w:val="en-GB"/>
        </w:rPr>
        <w:t xml:space="preserve">, C., </w:t>
      </w:r>
      <w:proofErr w:type="spellStart"/>
      <w:r w:rsidRPr="007168B5">
        <w:rPr>
          <w:lang w:val="en-GB"/>
        </w:rPr>
        <w:t>T</w:t>
      </w:r>
      <w:r w:rsidR="007168B5">
        <w:rPr>
          <w:lang w:val="en-GB"/>
        </w:rPr>
        <w:t>satsaronis</w:t>
      </w:r>
      <w:proofErr w:type="spellEnd"/>
      <w:r w:rsidRPr="007168B5">
        <w:rPr>
          <w:lang w:val="en-GB"/>
        </w:rPr>
        <w:t>, K.</w:t>
      </w:r>
      <w:r w:rsidRPr="00CD7EA4">
        <w:rPr>
          <w:lang w:val="en-GB"/>
        </w:rPr>
        <w:t xml:space="preserve"> (2013)</w:t>
      </w:r>
      <w:r w:rsidR="002B4418">
        <w:rPr>
          <w:lang w:val="en-GB"/>
        </w:rPr>
        <w:t>.</w:t>
      </w:r>
      <w:r w:rsidRPr="00CD7EA4">
        <w:rPr>
          <w:lang w:val="en-GB"/>
        </w:rPr>
        <w:t xml:space="preserve"> </w:t>
      </w:r>
      <w:r w:rsidRPr="00CD7EA4">
        <w:rPr>
          <w:i/>
          <w:lang w:val="en-GB"/>
        </w:rPr>
        <w:t>Can We Identify the Financial Cycle?</w:t>
      </w:r>
      <w:r w:rsidRPr="00CD7EA4">
        <w:rPr>
          <w:lang w:val="en-GB"/>
        </w:rPr>
        <w:t xml:space="preserve"> </w:t>
      </w:r>
      <w:proofErr w:type="gramStart"/>
      <w:r w:rsidRPr="00CD7EA4">
        <w:rPr>
          <w:lang w:val="en-GB"/>
        </w:rPr>
        <w:t>in</w:t>
      </w:r>
      <w:proofErr w:type="gramEnd"/>
      <w:r w:rsidRPr="00CD7EA4">
        <w:rPr>
          <w:lang w:val="en-GB"/>
        </w:rPr>
        <w:t xml:space="preserve">: </w:t>
      </w:r>
      <w:r w:rsidR="00E86D0A" w:rsidRPr="00CD7EA4">
        <w:rPr>
          <w:lang w:val="en-GB"/>
        </w:rPr>
        <w:t>“</w:t>
      </w:r>
      <w:r w:rsidRPr="00CD7EA4">
        <w:rPr>
          <w:lang w:val="en-GB"/>
        </w:rPr>
        <w:t>The Role of Central Banks in Financial Stability How Has It Changed?</w:t>
      </w:r>
      <w:r w:rsidR="00E86D0A" w:rsidRPr="00CD7EA4">
        <w:rPr>
          <w:lang w:val="en-GB"/>
        </w:rPr>
        <w:t>”</w:t>
      </w:r>
      <w:r w:rsidR="002B4418">
        <w:rPr>
          <w:lang w:val="en-GB"/>
        </w:rPr>
        <w:t>.</w:t>
      </w:r>
      <w:r w:rsidRPr="00CD7EA4">
        <w:rPr>
          <w:lang w:val="en-GB"/>
        </w:rPr>
        <w:t xml:space="preserve"> </w:t>
      </w:r>
      <w:proofErr w:type="gramStart"/>
      <w:r w:rsidR="00E86D0A" w:rsidRPr="00CD7EA4">
        <w:rPr>
          <w:lang w:val="en-GB"/>
        </w:rPr>
        <w:t>c</w:t>
      </w:r>
      <w:r w:rsidRPr="00CD7EA4">
        <w:rPr>
          <w:lang w:val="en-GB"/>
        </w:rPr>
        <w:t>hapter</w:t>
      </w:r>
      <w:proofErr w:type="gramEnd"/>
      <w:r w:rsidR="00E86D0A" w:rsidRPr="00CD7EA4">
        <w:rPr>
          <w:lang w:val="en-GB"/>
        </w:rPr>
        <w:t> </w:t>
      </w:r>
      <w:r w:rsidRPr="00CD7EA4">
        <w:rPr>
          <w:lang w:val="en-GB"/>
        </w:rPr>
        <w:t>7</w:t>
      </w:r>
      <w:r w:rsidR="002B4418">
        <w:rPr>
          <w:lang w:val="en-GB"/>
        </w:rPr>
        <w:t>.</w:t>
      </w:r>
      <w:r w:rsidRPr="00CD7EA4">
        <w:rPr>
          <w:lang w:val="en-GB"/>
        </w:rPr>
        <w:t xml:space="preserve"> </w:t>
      </w:r>
      <w:r w:rsidR="000E5435" w:rsidRPr="00CD7EA4">
        <w:rPr>
          <w:lang w:val="en-GB"/>
        </w:rPr>
        <w:t>pp.</w:t>
      </w:r>
      <w:r w:rsidR="005C6700" w:rsidRPr="00CD7EA4">
        <w:rPr>
          <w:lang w:val="en-GB"/>
        </w:rPr>
        <w:t> </w:t>
      </w:r>
      <w:r w:rsidRPr="00CD7EA4">
        <w:rPr>
          <w:lang w:val="en-GB"/>
        </w:rPr>
        <w:t>131</w:t>
      </w:r>
      <w:r w:rsidR="000E5435" w:rsidRPr="00CD7EA4">
        <w:rPr>
          <w:lang w:val="en-GB"/>
        </w:rPr>
        <w:t>–</w:t>
      </w:r>
      <w:r w:rsidRPr="00CD7EA4">
        <w:rPr>
          <w:lang w:val="en-GB"/>
        </w:rPr>
        <w:t>156</w:t>
      </w:r>
      <w:r w:rsidR="002B4418">
        <w:rPr>
          <w:lang w:val="en-GB"/>
        </w:rPr>
        <w:t>.</w:t>
      </w:r>
      <w:r w:rsidRPr="00CD7EA4">
        <w:rPr>
          <w:lang w:val="en-GB"/>
        </w:rPr>
        <w:t xml:space="preserve"> </w:t>
      </w:r>
      <w:r w:rsidR="00E86D0A" w:rsidRPr="00CD7EA4">
        <w:rPr>
          <w:lang w:val="en-GB"/>
        </w:rPr>
        <w:t>World Scientific Books</w:t>
      </w:r>
      <w:r w:rsidR="002B4418">
        <w:rPr>
          <w:lang w:val="en-GB"/>
        </w:rPr>
        <w:t>.</w:t>
      </w:r>
      <w:r w:rsidR="00E86D0A" w:rsidRPr="00CD7EA4">
        <w:rPr>
          <w:lang w:val="en-GB"/>
        </w:rPr>
        <w:t xml:space="preserve"> </w:t>
      </w:r>
      <w:r w:rsidRPr="00CD7EA4">
        <w:rPr>
          <w:lang w:val="en-GB"/>
        </w:rPr>
        <w:t xml:space="preserve">World Scientific Publishing Co. </w:t>
      </w:r>
      <w:proofErr w:type="spellStart"/>
      <w:r w:rsidRPr="00CD7EA4">
        <w:rPr>
          <w:lang w:val="en-GB"/>
        </w:rPr>
        <w:t>Pte.</w:t>
      </w:r>
      <w:proofErr w:type="spellEnd"/>
      <w:r w:rsidRPr="00CD7EA4">
        <w:rPr>
          <w:lang w:val="en-GB"/>
        </w:rPr>
        <w:t xml:space="preserve"> Ltd.</w:t>
      </w:r>
    </w:p>
    <w:p w:rsidR="00EF3F1C" w:rsidRPr="00CD7EA4" w:rsidRDefault="00EF3F1C" w:rsidP="00CD0A5B">
      <w:pPr>
        <w:pStyle w:val="Hlavnitext"/>
        <w:numPr>
          <w:ilvl w:val="0"/>
          <w:numId w:val="29"/>
        </w:numPr>
        <w:spacing w:after="0"/>
        <w:ind w:left="714" w:hanging="357"/>
        <w:rPr>
          <w:lang w:val="en-GB"/>
        </w:rPr>
      </w:pPr>
      <w:r w:rsidRPr="00CD7EA4">
        <w:rPr>
          <w:lang w:val="en-GB"/>
        </w:rPr>
        <w:t>EBA (2015)</w:t>
      </w:r>
      <w:r w:rsidR="002B4418">
        <w:rPr>
          <w:lang w:val="en-GB"/>
        </w:rPr>
        <w:t>.</w:t>
      </w:r>
      <w:r w:rsidRPr="00CD7EA4">
        <w:rPr>
          <w:lang w:val="en-GB"/>
        </w:rPr>
        <w:t xml:space="preserve"> </w:t>
      </w:r>
      <w:r w:rsidRPr="00CD7EA4">
        <w:rPr>
          <w:i/>
          <w:lang w:val="en-GB"/>
        </w:rPr>
        <w:t xml:space="preserve">Draft Guidelines on </w:t>
      </w:r>
      <w:r w:rsidR="00E86D0A" w:rsidRPr="00CD7EA4">
        <w:rPr>
          <w:i/>
          <w:lang w:val="en-GB"/>
        </w:rPr>
        <w:t>stress testing and supervisory stress testing</w:t>
      </w:r>
      <w:r w:rsidRPr="00CD7EA4">
        <w:rPr>
          <w:i/>
          <w:lang w:val="en-GB"/>
        </w:rPr>
        <w:t>. Consultation Paper. European Banking Authority</w:t>
      </w:r>
      <w:r w:rsidR="002B4418">
        <w:rPr>
          <w:i/>
          <w:lang w:val="en-GB"/>
        </w:rPr>
        <w:t>.</w:t>
      </w:r>
      <w:r w:rsidRPr="00CD7EA4">
        <w:rPr>
          <w:lang w:val="en-GB"/>
        </w:rPr>
        <w:t xml:space="preserve"> EBA/CP/2016/28</w:t>
      </w:r>
      <w:r w:rsidR="002B4418">
        <w:rPr>
          <w:lang w:val="en-GB"/>
        </w:rPr>
        <w:t>.</w:t>
      </w:r>
      <w:r w:rsidRPr="00CD7EA4">
        <w:rPr>
          <w:lang w:val="en-GB"/>
        </w:rPr>
        <w:t xml:space="preserve"> 18</w:t>
      </w:r>
      <w:r w:rsidR="005C6700" w:rsidRPr="00CD7EA4">
        <w:rPr>
          <w:lang w:val="en-GB"/>
        </w:rPr>
        <w:t> </w:t>
      </w:r>
      <w:r w:rsidR="0081568F" w:rsidRPr="00CD7EA4">
        <w:rPr>
          <w:lang w:val="en-GB"/>
        </w:rPr>
        <w:t xml:space="preserve">December </w:t>
      </w:r>
      <w:r w:rsidRPr="00CD7EA4">
        <w:rPr>
          <w:lang w:val="en-GB"/>
        </w:rPr>
        <w:t>2015.</w:t>
      </w:r>
    </w:p>
    <w:p w:rsidR="002C10DD" w:rsidRPr="00CD7EA4" w:rsidRDefault="002C10DD" w:rsidP="00CD0A5B">
      <w:pPr>
        <w:pStyle w:val="Hlavnitext"/>
        <w:numPr>
          <w:ilvl w:val="0"/>
          <w:numId w:val="29"/>
        </w:numPr>
        <w:spacing w:after="0"/>
        <w:ind w:left="714" w:hanging="357"/>
        <w:rPr>
          <w:lang w:val="en-GB"/>
        </w:rPr>
      </w:pPr>
      <w:r w:rsidRPr="00CD7EA4">
        <w:rPr>
          <w:lang w:val="en-GB"/>
        </w:rPr>
        <w:t>ESRB (2014)</w:t>
      </w:r>
      <w:r w:rsidR="002B4418">
        <w:rPr>
          <w:lang w:val="en-GB"/>
        </w:rPr>
        <w:t>.</w:t>
      </w:r>
      <w:r w:rsidRPr="00CD7EA4">
        <w:rPr>
          <w:lang w:val="en-GB"/>
        </w:rPr>
        <w:t xml:space="preserve"> </w:t>
      </w:r>
      <w:r w:rsidRPr="00CD7EA4">
        <w:rPr>
          <w:i/>
          <w:lang w:val="en-GB"/>
        </w:rPr>
        <w:t>Recommendation of the Eur</w:t>
      </w:r>
      <w:r w:rsidR="005C6700" w:rsidRPr="00CD7EA4">
        <w:rPr>
          <w:i/>
          <w:lang w:val="en-GB"/>
        </w:rPr>
        <w:t>opean Systemic Risk Board of 18 </w:t>
      </w:r>
      <w:r w:rsidRPr="00CD7EA4">
        <w:rPr>
          <w:i/>
          <w:lang w:val="en-GB"/>
        </w:rPr>
        <w:t xml:space="preserve">June 2014 on </w:t>
      </w:r>
      <w:r w:rsidR="00E86D0A" w:rsidRPr="00CD7EA4">
        <w:rPr>
          <w:i/>
          <w:lang w:val="en-GB"/>
        </w:rPr>
        <w:t>guidance for setting countercyclical buffer rates</w:t>
      </w:r>
      <w:r w:rsidR="002B4418">
        <w:rPr>
          <w:i/>
          <w:lang w:val="en-GB"/>
        </w:rPr>
        <w:t>.</w:t>
      </w:r>
      <w:r w:rsidR="00AA228B" w:rsidRPr="00CD7EA4">
        <w:rPr>
          <w:lang w:val="en-GB"/>
        </w:rPr>
        <w:t xml:space="preserve"> January </w:t>
      </w:r>
      <w:r w:rsidRPr="00CD7EA4">
        <w:rPr>
          <w:lang w:val="en-GB"/>
        </w:rPr>
        <w:t>2014.</w:t>
      </w:r>
    </w:p>
    <w:p w:rsidR="00AD0A5F" w:rsidRPr="00CD7EA4" w:rsidRDefault="00AD0A5F" w:rsidP="00CD0A5B">
      <w:pPr>
        <w:pStyle w:val="Hlavnitext"/>
        <w:numPr>
          <w:ilvl w:val="0"/>
          <w:numId w:val="29"/>
        </w:numPr>
        <w:spacing w:after="0"/>
        <w:ind w:left="714" w:hanging="357"/>
        <w:rPr>
          <w:lang w:val="en-GB"/>
        </w:rPr>
      </w:pPr>
      <w:r w:rsidRPr="007168B5">
        <w:rPr>
          <w:lang w:val="en-GB"/>
        </w:rPr>
        <w:t>F</w:t>
      </w:r>
      <w:r w:rsidR="007168B5">
        <w:rPr>
          <w:lang w:val="en-GB"/>
        </w:rPr>
        <w:t>rait</w:t>
      </w:r>
      <w:r w:rsidRPr="007168B5">
        <w:rPr>
          <w:lang w:val="en-GB"/>
        </w:rPr>
        <w:t>, J., K</w:t>
      </w:r>
      <w:r w:rsidR="007168B5">
        <w:rPr>
          <w:lang w:val="en-GB"/>
        </w:rPr>
        <w:t>omárková</w:t>
      </w:r>
      <w:r w:rsidRPr="007168B5">
        <w:rPr>
          <w:lang w:val="en-GB"/>
        </w:rPr>
        <w:t>, Z.</w:t>
      </w:r>
      <w:r w:rsidRPr="00CD7EA4">
        <w:rPr>
          <w:lang w:val="en-GB"/>
        </w:rPr>
        <w:t xml:space="preserve"> (2012)</w:t>
      </w:r>
      <w:r w:rsidR="002B4418">
        <w:rPr>
          <w:lang w:val="en-GB"/>
        </w:rPr>
        <w:t>.</w:t>
      </w:r>
      <w:r w:rsidRPr="00CD7EA4">
        <w:rPr>
          <w:lang w:val="en-GB"/>
        </w:rPr>
        <w:t xml:space="preserve"> </w:t>
      </w:r>
      <w:proofErr w:type="spellStart"/>
      <w:r w:rsidRPr="00CD7EA4">
        <w:rPr>
          <w:i/>
          <w:lang w:val="en-GB"/>
        </w:rPr>
        <w:t>Macroprudential</w:t>
      </w:r>
      <w:proofErr w:type="spellEnd"/>
      <w:r w:rsidRPr="00CD7EA4">
        <w:rPr>
          <w:i/>
          <w:lang w:val="en-GB"/>
        </w:rPr>
        <w:t xml:space="preserve"> </w:t>
      </w:r>
      <w:r w:rsidR="0081568F" w:rsidRPr="00CD7EA4">
        <w:rPr>
          <w:i/>
          <w:lang w:val="en-GB"/>
        </w:rPr>
        <w:t xml:space="preserve">Policy and Its Instruments in a Small </w:t>
      </w:r>
      <w:r w:rsidRPr="00CD7EA4">
        <w:rPr>
          <w:i/>
          <w:lang w:val="en-GB"/>
        </w:rPr>
        <w:t xml:space="preserve">EU </w:t>
      </w:r>
      <w:r w:rsidR="0081568F" w:rsidRPr="00CD7EA4">
        <w:rPr>
          <w:i/>
          <w:lang w:val="en-GB"/>
        </w:rPr>
        <w:t>Economy</w:t>
      </w:r>
      <w:r w:rsidR="002B4418">
        <w:rPr>
          <w:i/>
          <w:lang w:val="en-GB"/>
        </w:rPr>
        <w:t>.</w:t>
      </w:r>
      <w:r w:rsidRPr="00CD7EA4">
        <w:rPr>
          <w:lang w:val="en-GB"/>
        </w:rPr>
        <w:t xml:space="preserve"> </w:t>
      </w:r>
      <w:r w:rsidR="00BE7865" w:rsidRPr="00CD7EA4">
        <w:rPr>
          <w:lang w:val="en-GB"/>
        </w:rPr>
        <w:t>C</w:t>
      </w:r>
      <w:r w:rsidRPr="00CD7EA4">
        <w:rPr>
          <w:lang w:val="en-GB"/>
        </w:rPr>
        <w:t>NB Research and Poli</w:t>
      </w:r>
      <w:r w:rsidR="005D0F20" w:rsidRPr="00CD7EA4">
        <w:rPr>
          <w:lang w:val="en-GB"/>
        </w:rPr>
        <w:t>cy Note </w:t>
      </w:r>
      <w:r w:rsidRPr="00CD7EA4">
        <w:rPr>
          <w:lang w:val="en-GB"/>
        </w:rPr>
        <w:t>3/2012.</w:t>
      </w:r>
    </w:p>
    <w:p w:rsidR="006E127B" w:rsidRPr="00CD7EA4" w:rsidRDefault="006E127B" w:rsidP="00CD0A5B">
      <w:pPr>
        <w:pStyle w:val="Hlavnitext"/>
        <w:numPr>
          <w:ilvl w:val="0"/>
          <w:numId w:val="29"/>
        </w:numPr>
        <w:spacing w:after="0"/>
        <w:ind w:left="714" w:hanging="357"/>
        <w:rPr>
          <w:lang w:val="en-GB"/>
        </w:rPr>
      </w:pPr>
      <w:proofErr w:type="spellStart"/>
      <w:r w:rsidRPr="007168B5">
        <w:rPr>
          <w:lang w:val="en-GB"/>
        </w:rPr>
        <w:t>G</w:t>
      </w:r>
      <w:r w:rsidR="007168B5">
        <w:rPr>
          <w:lang w:val="en-GB"/>
        </w:rPr>
        <w:t>ambacorta</w:t>
      </w:r>
      <w:proofErr w:type="spellEnd"/>
      <w:r w:rsidRPr="007168B5">
        <w:rPr>
          <w:lang w:val="en-GB"/>
        </w:rPr>
        <w:t>, L., S</w:t>
      </w:r>
      <w:r w:rsidR="007168B5">
        <w:rPr>
          <w:lang w:val="en-GB"/>
        </w:rPr>
        <w:t>hin</w:t>
      </w:r>
      <w:r w:rsidRPr="007168B5">
        <w:rPr>
          <w:lang w:val="en-GB"/>
        </w:rPr>
        <w:t>, H. S.</w:t>
      </w:r>
      <w:r w:rsidRPr="00CD7EA4">
        <w:rPr>
          <w:lang w:val="en-GB"/>
        </w:rPr>
        <w:t xml:space="preserve"> (2016)</w:t>
      </w:r>
      <w:r w:rsidR="002B4418">
        <w:rPr>
          <w:lang w:val="en-GB"/>
        </w:rPr>
        <w:t>.</w:t>
      </w:r>
      <w:r w:rsidRPr="00CD7EA4">
        <w:rPr>
          <w:lang w:val="en-GB"/>
        </w:rPr>
        <w:t xml:space="preserve"> </w:t>
      </w:r>
      <w:r w:rsidRPr="00CD7EA4">
        <w:rPr>
          <w:i/>
          <w:lang w:val="en-GB"/>
        </w:rPr>
        <w:t>Why Bank Capital Matters for Monetary Policy</w:t>
      </w:r>
      <w:r w:rsidR="002B4418">
        <w:rPr>
          <w:i/>
          <w:lang w:val="en-GB"/>
        </w:rPr>
        <w:t>.</w:t>
      </w:r>
      <w:r w:rsidRPr="00CD7EA4">
        <w:rPr>
          <w:lang w:val="en-GB"/>
        </w:rPr>
        <w:t xml:space="preserve"> BIS Working Paper</w:t>
      </w:r>
      <w:r w:rsidR="005D0F20" w:rsidRPr="00CD7EA4">
        <w:rPr>
          <w:lang w:val="en-GB"/>
        </w:rPr>
        <w:t> </w:t>
      </w:r>
      <w:r w:rsidRPr="00CD7EA4">
        <w:rPr>
          <w:lang w:val="en-GB"/>
        </w:rPr>
        <w:t>558.</w:t>
      </w:r>
    </w:p>
    <w:p w:rsidR="002C10DD" w:rsidRPr="00CD7EA4" w:rsidRDefault="002C10DD" w:rsidP="00CD0A5B">
      <w:pPr>
        <w:pStyle w:val="Hlavnitext"/>
        <w:numPr>
          <w:ilvl w:val="0"/>
          <w:numId w:val="29"/>
        </w:numPr>
        <w:spacing w:after="0"/>
        <w:ind w:left="714" w:hanging="357"/>
        <w:rPr>
          <w:lang w:val="en-GB"/>
        </w:rPr>
      </w:pPr>
      <w:r w:rsidRPr="007168B5">
        <w:rPr>
          <w:lang w:val="en-GB"/>
        </w:rPr>
        <w:t>G</w:t>
      </w:r>
      <w:r w:rsidR="007168B5">
        <w:rPr>
          <w:lang w:val="en-GB"/>
        </w:rPr>
        <w:t>eršl</w:t>
      </w:r>
      <w:r w:rsidRPr="007168B5">
        <w:rPr>
          <w:lang w:val="en-GB"/>
        </w:rPr>
        <w:t>, A., S</w:t>
      </w:r>
      <w:r w:rsidR="007168B5">
        <w:rPr>
          <w:lang w:val="en-GB"/>
        </w:rPr>
        <w:t>eidler</w:t>
      </w:r>
      <w:r w:rsidRPr="007168B5">
        <w:rPr>
          <w:lang w:val="en-GB"/>
        </w:rPr>
        <w:t>, J.</w:t>
      </w:r>
      <w:r w:rsidRPr="00CD7EA4">
        <w:rPr>
          <w:lang w:val="en-GB"/>
        </w:rPr>
        <w:t xml:space="preserve"> (2011)</w:t>
      </w:r>
      <w:r w:rsidR="002B4418">
        <w:rPr>
          <w:lang w:val="en-GB"/>
        </w:rPr>
        <w:t>.</w:t>
      </w:r>
      <w:r w:rsidRPr="00CD7EA4">
        <w:rPr>
          <w:lang w:val="en-GB"/>
        </w:rPr>
        <w:t xml:space="preserve"> </w:t>
      </w:r>
      <w:r w:rsidRPr="00CD7EA4">
        <w:rPr>
          <w:i/>
          <w:lang w:val="en-GB"/>
        </w:rPr>
        <w:t>Credit Growth and Capital Buffers: Empirical Evidence from Central and Eastern European Countries</w:t>
      </w:r>
      <w:r w:rsidR="002B4418">
        <w:rPr>
          <w:i/>
          <w:lang w:val="en-GB"/>
        </w:rPr>
        <w:t>.</w:t>
      </w:r>
      <w:r w:rsidR="0081568F" w:rsidRPr="00CD7EA4">
        <w:rPr>
          <w:lang w:val="en-GB"/>
        </w:rPr>
        <w:t xml:space="preserve"> CNB </w:t>
      </w:r>
      <w:r w:rsidRPr="00CD7EA4">
        <w:rPr>
          <w:lang w:val="en-GB"/>
        </w:rPr>
        <w:t>Research and Policy Note</w:t>
      </w:r>
      <w:r w:rsidR="005D0F20" w:rsidRPr="00CD7EA4">
        <w:rPr>
          <w:lang w:val="en-GB"/>
        </w:rPr>
        <w:t> </w:t>
      </w:r>
      <w:r w:rsidR="005C6700" w:rsidRPr="00CD7EA4">
        <w:rPr>
          <w:lang w:val="en-GB"/>
        </w:rPr>
        <w:t>2/2011</w:t>
      </w:r>
      <w:r w:rsidRPr="00CD7EA4">
        <w:rPr>
          <w:lang w:val="en-GB"/>
        </w:rPr>
        <w:t>.</w:t>
      </w:r>
    </w:p>
    <w:p w:rsidR="005D69A5" w:rsidRPr="00CD7EA4" w:rsidRDefault="007953F8" w:rsidP="00CD0A5B">
      <w:pPr>
        <w:pStyle w:val="Hlavnitext"/>
        <w:numPr>
          <w:ilvl w:val="0"/>
          <w:numId w:val="29"/>
        </w:numPr>
        <w:spacing w:after="0"/>
        <w:ind w:left="714" w:hanging="357"/>
        <w:rPr>
          <w:lang w:val="en-GB"/>
        </w:rPr>
      </w:pPr>
      <w:r w:rsidRPr="007168B5">
        <w:rPr>
          <w:lang w:val="en-GB"/>
        </w:rPr>
        <w:t>H</w:t>
      </w:r>
      <w:r w:rsidR="007168B5">
        <w:rPr>
          <w:lang w:val="en-GB"/>
        </w:rPr>
        <w:t>laváček</w:t>
      </w:r>
      <w:r w:rsidRPr="007168B5">
        <w:rPr>
          <w:lang w:val="en-GB"/>
        </w:rPr>
        <w:t xml:space="preserve">, M., </w:t>
      </w:r>
      <w:r w:rsidR="005D69A5" w:rsidRPr="007168B5">
        <w:rPr>
          <w:lang w:val="en-GB"/>
        </w:rPr>
        <w:t>H</w:t>
      </w:r>
      <w:r w:rsidR="007168B5">
        <w:rPr>
          <w:lang w:val="en-GB"/>
        </w:rPr>
        <w:t>ejlová</w:t>
      </w:r>
      <w:r w:rsidR="005D69A5" w:rsidRPr="007168B5">
        <w:rPr>
          <w:lang w:val="en-GB"/>
        </w:rPr>
        <w:t>, H.</w:t>
      </w:r>
      <w:r w:rsidR="005D69A5" w:rsidRPr="00CD7EA4">
        <w:rPr>
          <w:lang w:val="en-GB"/>
        </w:rPr>
        <w:t xml:space="preserve"> (2015)</w:t>
      </w:r>
      <w:r w:rsidR="00CD0A5B">
        <w:rPr>
          <w:lang w:val="en-GB"/>
        </w:rPr>
        <w:t>.</w:t>
      </w:r>
      <w:r w:rsidR="005D69A5" w:rsidRPr="00CD7EA4">
        <w:rPr>
          <w:lang w:val="en-GB"/>
        </w:rPr>
        <w:t xml:space="preserve"> </w:t>
      </w:r>
      <w:r w:rsidRPr="00CD7EA4">
        <w:rPr>
          <w:i/>
          <w:lang w:val="en-GB"/>
        </w:rPr>
        <w:t xml:space="preserve">A </w:t>
      </w:r>
      <w:r w:rsidR="0081568F" w:rsidRPr="00CD7EA4">
        <w:rPr>
          <w:i/>
          <w:lang w:val="en-GB"/>
        </w:rPr>
        <w:t>Comprehensive Method for House Price Sustainability Assessment</w:t>
      </w:r>
      <w:r w:rsidR="00CD0A5B">
        <w:rPr>
          <w:i/>
          <w:lang w:val="en-GB"/>
        </w:rPr>
        <w:t>.</w:t>
      </w:r>
      <w:r w:rsidR="005C6700" w:rsidRPr="00CD7EA4">
        <w:rPr>
          <w:lang w:val="en-GB"/>
        </w:rPr>
        <w:t xml:space="preserve"> Financial Stability Report</w:t>
      </w:r>
      <w:r w:rsidR="005D0F20" w:rsidRPr="00CD7EA4">
        <w:rPr>
          <w:lang w:val="en-GB"/>
        </w:rPr>
        <w:t> </w:t>
      </w:r>
      <w:r w:rsidR="005D69A5" w:rsidRPr="00CD7EA4">
        <w:rPr>
          <w:lang w:val="en-GB"/>
        </w:rPr>
        <w:t>2014/2015</w:t>
      </w:r>
      <w:r w:rsidR="00CD0A5B">
        <w:rPr>
          <w:lang w:val="en-GB"/>
        </w:rPr>
        <w:t>.</w:t>
      </w:r>
      <w:r w:rsidR="005D69A5" w:rsidRPr="00CD7EA4">
        <w:rPr>
          <w:lang w:val="en-GB"/>
        </w:rPr>
        <w:t xml:space="preserve"> </w:t>
      </w:r>
      <w:r w:rsidR="005C6700" w:rsidRPr="00CD7EA4">
        <w:rPr>
          <w:lang w:val="en-GB"/>
        </w:rPr>
        <w:t>Czech National Bank</w:t>
      </w:r>
      <w:r w:rsidR="005D69A5" w:rsidRPr="00CD7EA4">
        <w:rPr>
          <w:lang w:val="en-GB"/>
        </w:rPr>
        <w:t>, pp.</w:t>
      </w:r>
      <w:r w:rsidR="00C74E9E" w:rsidRPr="00CD7EA4">
        <w:rPr>
          <w:lang w:val="en-GB"/>
        </w:rPr>
        <w:t> </w:t>
      </w:r>
      <w:r w:rsidRPr="00CD7EA4">
        <w:rPr>
          <w:lang w:val="en-GB"/>
        </w:rPr>
        <w:t>121–130</w:t>
      </w:r>
      <w:r w:rsidR="0083300E" w:rsidRPr="00CD7EA4">
        <w:rPr>
          <w:lang w:val="en-GB"/>
        </w:rPr>
        <w:t>.</w:t>
      </w:r>
    </w:p>
    <w:p w:rsidR="00B74EC0" w:rsidRPr="00CD7EA4" w:rsidRDefault="002C10DD" w:rsidP="00CD0A5B">
      <w:pPr>
        <w:pStyle w:val="Hlavnitext"/>
        <w:numPr>
          <w:ilvl w:val="0"/>
          <w:numId w:val="29"/>
        </w:numPr>
        <w:spacing w:after="0"/>
        <w:ind w:left="714" w:hanging="357"/>
        <w:rPr>
          <w:lang w:val="en-GB"/>
        </w:rPr>
      </w:pPr>
      <w:r w:rsidRPr="007168B5">
        <w:rPr>
          <w:lang w:val="en-GB"/>
        </w:rPr>
        <w:t>P</w:t>
      </w:r>
      <w:r w:rsidR="007168B5">
        <w:rPr>
          <w:lang w:val="en-GB"/>
        </w:rPr>
        <w:t>lašil</w:t>
      </w:r>
      <w:r w:rsidRPr="007168B5">
        <w:rPr>
          <w:lang w:val="en-GB"/>
        </w:rPr>
        <w:t>, M., S</w:t>
      </w:r>
      <w:r w:rsidR="007168B5">
        <w:rPr>
          <w:lang w:val="en-GB"/>
        </w:rPr>
        <w:t>eidler</w:t>
      </w:r>
      <w:r w:rsidRPr="007168B5">
        <w:rPr>
          <w:lang w:val="en-GB"/>
        </w:rPr>
        <w:t>, J., H</w:t>
      </w:r>
      <w:r w:rsidR="007168B5">
        <w:rPr>
          <w:lang w:val="en-GB"/>
        </w:rPr>
        <w:t>laváč</w:t>
      </w:r>
      <w:r w:rsidRPr="007168B5">
        <w:rPr>
          <w:lang w:val="en-GB"/>
        </w:rPr>
        <w:t xml:space="preserve">, </w:t>
      </w:r>
      <w:r w:rsidR="007E53DE" w:rsidRPr="007168B5">
        <w:rPr>
          <w:lang w:val="en-GB"/>
        </w:rPr>
        <w:t xml:space="preserve">P. </w:t>
      </w:r>
      <w:r w:rsidRPr="00CD7EA4">
        <w:rPr>
          <w:lang w:val="en-GB"/>
        </w:rPr>
        <w:t>(</w:t>
      </w:r>
      <w:r w:rsidR="00C6180F" w:rsidRPr="00CD7EA4">
        <w:rPr>
          <w:lang w:val="en-GB"/>
        </w:rPr>
        <w:t>2016</w:t>
      </w:r>
      <w:r w:rsidRPr="00CD7EA4">
        <w:rPr>
          <w:lang w:val="en-GB"/>
        </w:rPr>
        <w:t>)</w:t>
      </w:r>
      <w:r w:rsidR="00CD0A5B">
        <w:rPr>
          <w:lang w:val="en-GB"/>
        </w:rPr>
        <w:t>.</w:t>
      </w:r>
      <w:r w:rsidRPr="00CD7EA4">
        <w:rPr>
          <w:lang w:val="en-GB"/>
        </w:rPr>
        <w:t xml:space="preserve"> </w:t>
      </w:r>
      <w:r w:rsidR="00C6180F" w:rsidRPr="00CD7EA4">
        <w:rPr>
          <w:i/>
          <w:lang w:val="en-GB"/>
        </w:rPr>
        <w:t>A New Measure of the Financial Cycle: Application to the Czech Republic</w:t>
      </w:r>
      <w:r w:rsidR="00CD0A5B">
        <w:rPr>
          <w:i/>
          <w:lang w:val="en-GB"/>
        </w:rPr>
        <w:t>.</w:t>
      </w:r>
      <w:r w:rsidRPr="00CD7EA4">
        <w:rPr>
          <w:lang w:val="en-GB"/>
        </w:rPr>
        <w:t xml:space="preserve"> </w:t>
      </w:r>
      <w:r w:rsidR="00C6180F" w:rsidRPr="00CD7EA4">
        <w:rPr>
          <w:lang w:val="en-GB"/>
        </w:rPr>
        <w:t>Eastern European Eco</w:t>
      </w:r>
      <w:r w:rsidR="005D0F20" w:rsidRPr="00CD7EA4">
        <w:rPr>
          <w:lang w:val="en-GB"/>
        </w:rPr>
        <w:t>nomics 54</w:t>
      </w:r>
      <w:r w:rsidR="00C6180F" w:rsidRPr="00CD7EA4">
        <w:rPr>
          <w:lang w:val="en-GB"/>
        </w:rPr>
        <w:t>(4)</w:t>
      </w:r>
      <w:r w:rsidR="00CD0A5B">
        <w:rPr>
          <w:lang w:val="en-GB"/>
        </w:rPr>
        <w:t>.</w:t>
      </w:r>
      <w:r w:rsidR="00C6180F" w:rsidRPr="00CD7EA4">
        <w:rPr>
          <w:lang w:val="en-GB"/>
        </w:rPr>
        <w:t xml:space="preserve"> </w:t>
      </w:r>
      <w:r w:rsidR="005D0F20" w:rsidRPr="00CD7EA4">
        <w:rPr>
          <w:lang w:val="en-GB"/>
        </w:rPr>
        <w:t>pp</w:t>
      </w:r>
      <w:r w:rsidR="002254A1" w:rsidRPr="00CD7EA4">
        <w:rPr>
          <w:lang w:val="en-GB"/>
        </w:rPr>
        <w:t>.</w:t>
      </w:r>
      <w:r w:rsidR="005D0F20" w:rsidRPr="00CD7EA4">
        <w:rPr>
          <w:lang w:val="en-GB"/>
        </w:rPr>
        <w:t> </w:t>
      </w:r>
      <w:r w:rsidR="00C6180F" w:rsidRPr="00CD7EA4">
        <w:rPr>
          <w:lang w:val="en-GB"/>
        </w:rPr>
        <w:t>296</w:t>
      </w:r>
      <w:r w:rsidR="005D0F20" w:rsidRPr="00CD7EA4">
        <w:rPr>
          <w:lang w:val="en-GB"/>
        </w:rPr>
        <w:t>–</w:t>
      </w:r>
      <w:r w:rsidR="00C6180F" w:rsidRPr="00CD7EA4">
        <w:rPr>
          <w:lang w:val="en-GB"/>
        </w:rPr>
        <w:t>318</w:t>
      </w:r>
      <w:r w:rsidR="002254A1" w:rsidRPr="00CD7EA4">
        <w:rPr>
          <w:lang w:val="en-GB"/>
        </w:rPr>
        <w:t>.</w:t>
      </w:r>
    </w:p>
    <w:p w:rsidR="00C6180F" w:rsidRPr="00CD7EA4" w:rsidRDefault="00C6180F" w:rsidP="00CD0A5B">
      <w:pPr>
        <w:pStyle w:val="Hlavnitext"/>
        <w:numPr>
          <w:ilvl w:val="0"/>
          <w:numId w:val="29"/>
        </w:numPr>
        <w:spacing w:after="0"/>
        <w:ind w:left="714" w:hanging="357"/>
        <w:rPr>
          <w:lang w:val="en-GB"/>
        </w:rPr>
      </w:pPr>
      <w:r w:rsidRPr="007168B5">
        <w:rPr>
          <w:lang w:val="en-GB"/>
        </w:rPr>
        <w:t>Stock, J. H., Watson, M. V.</w:t>
      </w:r>
      <w:r w:rsidRPr="00CD7EA4">
        <w:rPr>
          <w:lang w:val="en-GB"/>
        </w:rPr>
        <w:t xml:space="preserve"> (2010)</w:t>
      </w:r>
      <w:r w:rsidR="00CD0A5B">
        <w:rPr>
          <w:lang w:val="en-GB"/>
        </w:rPr>
        <w:t>.</w:t>
      </w:r>
      <w:r w:rsidRPr="00CD7EA4">
        <w:rPr>
          <w:lang w:val="en-GB"/>
        </w:rPr>
        <w:t xml:space="preserve"> </w:t>
      </w:r>
      <w:proofErr w:type="spellStart"/>
      <w:r w:rsidRPr="00CD7EA4">
        <w:rPr>
          <w:i/>
          <w:lang w:val="en-GB"/>
        </w:rPr>
        <w:t>Modeling</w:t>
      </w:r>
      <w:proofErr w:type="spellEnd"/>
      <w:r w:rsidRPr="00CD7EA4">
        <w:rPr>
          <w:i/>
          <w:lang w:val="en-GB"/>
        </w:rPr>
        <w:t xml:space="preserve"> </w:t>
      </w:r>
      <w:r w:rsidR="0081568F" w:rsidRPr="00CD7EA4">
        <w:rPr>
          <w:i/>
          <w:lang w:val="en-GB"/>
        </w:rPr>
        <w:t xml:space="preserve">Inflation </w:t>
      </w:r>
      <w:proofErr w:type="gramStart"/>
      <w:r w:rsidR="0081568F" w:rsidRPr="00CD7EA4">
        <w:rPr>
          <w:i/>
          <w:lang w:val="en-GB"/>
        </w:rPr>
        <w:t>After</w:t>
      </w:r>
      <w:proofErr w:type="gramEnd"/>
      <w:r w:rsidR="0081568F" w:rsidRPr="00CD7EA4">
        <w:rPr>
          <w:i/>
          <w:lang w:val="en-GB"/>
        </w:rPr>
        <w:t xml:space="preserve"> the Crisis</w:t>
      </w:r>
      <w:r w:rsidR="00CD0A5B">
        <w:rPr>
          <w:i/>
          <w:lang w:val="en-GB"/>
        </w:rPr>
        <w:t>.</w:t>
      </w:r>
      <w:r w:rsidR="005D0F20" w:rsidRPr="00CD7EA4">
        <w:rPr>
          <w:lang w:val="en-GB"/>
        </w:rPr>
        <w:t xml:space="preserve"> NBER Working Paper No. </w:t>
      </w:r>
      <w:r w:rsidRPr="00CD7EA4">
        <w:rPr>
          <w:lang w:val="en-GB"/>
        </w:rPr>
        <w:t>16488.</w:t>
      </w:r>
    </w:p>
    <w:p w:rsidR="00743C8B" w:rsidRPr="00CD7EA4" w:rsidRDefault="00743C8B" w:rsidP="00CD0A5B">
      <w:pPr>
        <w:pStyle w:val="Hlavnitext"/>
        <w:numPr>
          <w:ilvl w:val="0"/>
          <w:numId w:val="29"/>
        </w:numPr>
        <w:spacing w:after="0"/>
        <w:ind w:left="714" w:hanging="357"/>
        <w:rPr>
          <w:lang w:val="en-GB"/>
        </w:rPr>
      </w:pPr>
      <w:r w:rsidRPr="007168B5">
        <w:rPr>
          <w:lang w:val="en-GB"/>
        </w:rPr>
        <w:t>V</w:t>
      </w:r>
      <w:r w:rsidR="007168B5">
        <w:rPr>
          <w:lang w:val="en-GB"/>
        </w:rPr>
        <w:t>inod</w:t>
      </w:r>
      <w:r w:rsidRPr="007168B5">
        <w:rPr>
          <w:lang w:val="en-GB"/>
        </w:rPr>
        <w:t>, H. D.</w:t>
      </w:r>
      <w:r w:rsidRPr="00CD7EA4">
        <w:rPr>
          <w:lang w:val="en-GB"/>
        </w:rPr>
        <w:t xml:space="preserve"> (2006)</w:t>
      </w:r>
      <w:r w:rsidR="00CD0A5B">
        <w:rPr>
          <w:lang w:val="en-GB"/>
        </w:rPr>
        <w:t>.</w:t>
      </w:r>
      <w:r w:rsidRPr="00CD7EA4">
        <w:rPr>
          <w:lang w:val="en-GB"/>
        </w:rPr>
        <w:t xml:space="preserve"> </w:t>
      </w:r>
      <w:r w:rsidRPr="00CD7EA4">
        <w:rPr>
          <w:i/>
          <w:lang w:val="en-GB"/>
        </w:rPr>
        <w:t>Maximum Entropy Ensembles for Time Series Inference in Economics</w:t>
      </w:r>
      <w:r w:rsidR="00CD0A5B">
        <w:rPr>
          <w:i/>
          <w:lang w:val="en-GB"/>
        </w:rPr>
        <w:t>.</w:t>
      </w:r>
      <w:r w:rsidRPr="00CD7EA4">
        <w:rPr>
          <w:lang w:val="en-GB"/>
        </w:rPr>
        <w:t xml:space="preserve"> Journal of Asian Economics</w:t>
      </w:r>
      <w:r w:rsidR="005D0F20" w:rsidRPr="00CD7EA4">
        <w:rPr>
          <w:lang w:val="en-GB"/>
        </w:rPr>
        <w:t> 17</w:t>
      </w:r>
      <w:r w:rsidRPr="00CD7EA4">
        <w:rPr>
          <w:lang w:val="en-GB"/>
        </w:rPr>
        <w:t>(6)</w:t>
      </w:r>
      <w:r w:rsidR="00CD0A5B">
        <w:rPr>
          <w:lang w:val="en-GB"/>
        </w:rPr>
        <w:t>.</w:t>
      </w:r>
      <w:r w:rsidRPr="00CD7EA4">
        <w:rPr>
          <w:lang w:val="en-GB"/>
        </w:rPr>
        <w:t xml:space="preserve"> </w:t>
      </w:r>
      <w:r w:rsidR="005D0F20" w:rsidRPr="00CD7EA4">
        <w:rPr>
          <w:lang w:val="en-GB"/>
        </w:rPr>
        <w:t>pp</w:t>
      </w:r>
      <w:r w:rsidRPr="00CD7EA4">
        <w:rPr>
          <w:lang w:val="en-GB"/>
        </w:rPr>
        <w:t>.</w:t>
      </w:r>
      <w:r w:rsidR="005D0F20" w:rsidRPr="00CD7EA4">
        <w:rPr>
          <w:lang w:val="en-GB"/>
        </w:rPr>
        <w:t> </w:t>
      </w:r>
      <w:r w:rsidRPr="00CD7EA4">
        <w:rPr>
          <w:lang w:val="en-GB"/>
        </w:rPr>
        <w:t>955</w:t>
      </w:r>
      <w:r w:rsidR="005D0F20" w:rsidRPr="00CD7EA4">
        <w:rPr>
          <w:lang w:val="en-GB"/>
        </w:rPr>
        <w:t>–</w:t>
      </w:r>
      <w:r w:rsidRPr="00CD7EA4">
        <w:rPr>
          <w:lang w:val="en-GB"/>
        </w:rPr>
        <w:t>978.</w:t>
      </w:r>
    </w:p>
    <w:sectPr w:rsidR="00743C8B" w:rsidRPr="00CD7EA4" w:rsidSect="00B06125">
      <w:headerReference w:type="default" r:id="rId15"/>
      <w:footerReference w:type="default" r:id="rId16"/>
      <w:pgSz w:w="11906" w:h="16838"/>
      <w:pgMar w:top="1418" w:right="1418" w:bottom="1701" w:left="1418" w:header="709" w:footer="709"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C2A" w:rsidRDefault="00975C2A">
      <w:r>
        <w:separator/>
      </w:r>
    </w:p>
  </w:endnote>
  <w:endnote w:type="continuationSeparator" w:id="0">
    <w:p w:rsidR="00975C2A" w:rsidRDefault="0097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utiger CE 45 Light">
    <w:altName w:val="Corbel"/>
    <w:charset w:val="EE"/>
    <w:family w:val="auto"/>
    <w:pitch w:val="variable"/>
    <w:sig w:usb0="8000002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Frutiger LT Pro 45 Light">
    <w:altName w:val="Arial"/>
    <w:charset w:val="EE"/>
    <w:family w:val="swiss"/>
    <w:pitch w:val="variable"/>
    <w:sig w:usb0="A00000AF" w:usb1="5000204A"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125" w:rsidRDefault="00B06125">
    <w:pPr>
      <w:pStyle w:val="Zpat"/>
      <w:jc w:val="center"/>
    </w:pPr>
  </w:p>
  <w:p w:rsidR="00CD7EA4" w:rsidRDefault="00CD7E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C2A" w:rsidRDefault="00975C2A">
      <w:r>
        <w:separator/>
      </w:r>
    </w:p>
  </w:footnote>
  <w:footnote w:type="continuationSeparator" w:id="0">
    <w:p w:rsidR="00975C2A" w:rsidRDefault="00975C2A">
      <w:r>
        <w:continuationSeparator/>
      </w:r>
    </w:p>
  </w:footnote>
  <w:footnote w:id="1">
    <w:p w:rsidR="00132599" w:rsidRDefault="00132599" w:rsidP="00132599">
      <w:pPr>
        <w:pStyle w:val="Textpoznpodarou"/>
        <w:jc w:val="both"/>
      </w:pPr>
      <w:r>
        <w:rPr>
          <w:rStyle w:val="Znakapoznpodarou"/>
        </w:rPr>
        <w:footnoteRef/>
      </w:r>
      <w:r>
        <w:t xml:space="preserve"> </w:t>
      </w:r>
      <w:r w:rsidRPr="00853A2E">
        <w:rPr>
          <w:sz w:val="16"/>
          <w:szCs w:val="16"/>
          <w:lang w:val="en-GB"/>
        </w:rPr>
        <w:t>The views presented are those of the authors and not necessarily those of the Czech National Bank.</w:t>
      </w:r>
      <w:r w:rsidRPr="00AF3C4D">
        <w:rPr>
          <w:sz w:val="16"/>
          <w:szCs w:val="16"/>
          <w:lang w:val="en-GB"/>
        </w:rPr>
        <w:t xml:space="preserve"> </w:t>
      </w:r>
      <w:r>
        <w:rPr>
          <w:sz w:val="16"/>
          <w:szCs w:val="16"/>
          <w:lang w:val="en-GB"/>
        </w:rPr>
        <w:t xml:space="preserve">Jan Frait acknowledges support from the </w:t>
      </w:r>
      <w:r w:rsidRPr="00AF3C4D">
        <w:rPr>
          <w:sz w:val="16"/>
          <w:szCs w:val="16"/>
          <w:lang w:val="en-GB"/>
        </w:rPr>
        <w:t xml:space="preserve">Grant Agency of the Czech Republic </w:t>
      </w:r>
      <w:r>
        <w:rPr>
          <w:sz w:val="16"/>
          <w:szCs w:val="16"/>
          <w:lang w:val="en-GB"/>
        </w:rPr>
        <w:t>(project n</w:t>
      </w:r>
      <w:r w:rsidRPr="00AF3C4D">
        <w:rPr>
          <w:sz w:val="16"/>
          <w:szCs w:val="16"/>
          <w:lang w:val="en-GB"/>
        </w:rPr>
        <w:t>o. 16-2150</w:t>
      </w:r>
      <w:r>
        <w:rPr>
          <w:sz w:val="16"/>
          <w:szCs w:val="16"/>
          <w:lang w:val="en-GB"/>
        </w:rPr>
        <w:t>6</w:t>
      </w:r>
      <w:r w:rsidRPr="00AF3C4D">
        <w:rPr>
          <w:sz w:val="16"/>
          <w:szCs w:val="16"/>
          <w:lang w:val="en-GB"/>
        </w:rPr>
        <w:t>S</w:t>
      </w:r>
      <w:r>
        <w:rPr>
          <w:sz w:val="16"/>
          <w:szCs w:val="16"/>
          <w:lang w:val="en-GB"/>
        </w:rPr>
        <w:t xml:space="preserve">). </w:t>
      </w:r>
    </w:p>
  </w:footnote>
  <w:footnote w:id="2">
    <w:p w:rsidR="00CD7EA4" w:rsidRPr="00656FF1" w:rsidRDefault="00CD7EA4" w:rsidP="00C21C87">
      <w:pPr>
        <w:pStyle w:val="Textpoznpodarou"/>
        <w:jc w:val="both"/>
        <w:rPr>
          <w:lang w:val="en-GB"/>
        </w:rPr>
      </w:pPr>
      <w:r w:rsidRPr="00656FF1">
        <w:rPr>
          <w:rStyle w:val="Znakapoznpodarou"/>
          <w:lang w:val="en-GB"/>
        </w:rPr>
        <w:footnoteRef/>
      </w:r>
      <w:r w:rsidRPr="00656FF1">
        <w:rPr>
          <w:lang w:val="en-GB"/>
        </w:rPr>
        <w:t xml:space="preserve"> </w:t>
      </w:r>
      <w:r>
        <w:rPr>
          <w:lang w:val="en-GB"/>
        </w:rPr>
        <w:t xml:space="preserve">There is no clear consensus across the economic community on whether the creation of a capital buffer will give rise to a reduction in the supply of credit by banks. Financial sector representatives often assert that higher capital requirements lead to a decrease in the supply of loans </w:t>
      </w:r>
      <w:r w:rsidRPr="00656FF1">
        <w:rPr>
          <w:lang w:val="en-GB"/>
        </w:rPr>
        <w:t>(</w:t>
      </w:r>
      <w:r>
        <w:rPr>
          <w:lang w:val="en-GB"/>
        </w:rPr>
        <w:t>see</w:t>
      </w:r>
      <w:r w:rsidRPr="00656FF1">
        <w:rPr>
          <w:lang w:val="en-GB"/>
        </w:rPr>
        <w:t xml:space="preserve"> </w:t>
      </w:r>
      <w:proofErr w:type="spellStart"/>
      <w:r w:rsidRPr="00656FF1">
        <w:rPr>
          <w:lang w:val="en-GB"/>
        </w:rPr>
        <w:t>Admati</w:t>
      </w:r>
      <w:proofErr w:type="spellEnd"/>
      <w:r w:rsidRPr="00656FF1">
        <w:rPr>
          <w:lang w:val="en-GB"/>
        </w:rPr>
        <w:t xml:space="preserve"> et al., 2011). </w:t>
      </w:r>
      <w:r>
        <w:rPr>
          <w:lang w:val="en-GB"/>
        </w:rPr>
        <w:t xml:space="preserve">Based on an analysis of data for advanced countries, however, </w:t>
      </w:r>
      <w:proofErr w:type="spellStart"/>
      <w:r w:rsidRPr="00656FF1">
        <w:rPr>
          <w:lang w:val="en-GB"/>
        </w:rPr>
        <w:t>Gambacorta</w:t>
      </w:r>
      <w:proofErr w:type="spellEnd"/>
      <w:r>
        <w:rPr>
          <w:lang w:val="en-GB"/>
        </w:rPr>
        <w:t xml:space="preserve"> and </w:t>
      </w:r>
      <w:r w:rsidRPr="00656FF1">
        <w:rPr>
          <w:lang w:val="en-GB"/>
        </w:rPr>
        <w:t>Shin</w:t>
      </w:r>
      <w:r>
        <w:rPr>
          <w:lang w:val="en-GB"/>
        </w:rPr>
        <w:t xml:space="preserve"> </w:t>
      </w:r>
      <w:r w:rsidRPr="00656FF1">
        <w:rPr>
          <w:lang w:val="en-GB"/>
        </w:rPr>
        <w:t>(2016)</w:t>
      </w:r>
      <w:r>
        <w:rPr>
          <w:lang w:val="en-GB"/>
        </w:rPr>
        <w:t xml:space="preserve"> find that better capitalised banks have lower funding costs and are capable – especially in worse times – of lending more to the economy than banks with lower capitalisations. For that reason, efforts to constrain credit growth should not be the main motivating factor in </w:t>
      </w:r>
      <w:proofErr w:type="spellStart"/>
      <w:r w:rsidRPr="00656FF1">
        <w:rPr>
          <w:lang w:val="en-GB"/>
        </w:rPr>
        <w:t>CCyB</w:t>
      </w:r>
      <w:proofErr w:type="spellEnd"/>
      <w:r>
        <w:rPr>
          <w:lang w:val="en-GB"/>
        </w:rPr>
        <w:t xml:space="preserve"> rate decisions</w:t>
      </w:r>
      <w:r w:rsidRPr="00656FF1">
        <w:rPr>
          <w:lang w:val="en-GB"/>
        </w:rPr>
        <w:t>.</w:t>
      </w:r>
    </w:p>
  </w:footnote>
  <w:footnote w:id="3">
    <w:p w:rsidR="00127934" w:rsidRPr="00656FF1" w:rsidRDefault="00127934" w:rsidP="00127934">
      <w:pPr>
        <w:pStyle w:val="Textpoznpodarou"/>
        <w:jc w:val="both"/>
        <w:rPr>
          <w:lang w:val="en-GB"/>
        </w:rPr>
      </w:pPr>
      <w:r w:rsidRPr="00656FF1">
        <w:rPr>
          <w:rStyle w:val="Znakapoznpodarou"/>
          <w:lang w:val="en-GB"/>
        </w:rPr>
        <w:footnoteRef/>
      </w:r>
      <w:r w:rsidRPr="00656FF1">
        <w:rPr>
          <w:lang w:val="en-GB"/>
        </w:rPr>
        <w:t xml:space="preserve"> </w:t>
      </w:r>
      <w:r>
        <w:rPr>
          <w:lang w:val="en-GB"/>
        </w:rPr>
        <w:t>Total credit comprises total loans</w:t>
      </w:r>
      <w:r w:rsidRPr="00390AB3">
        <w:t xml:space="preserve"> </w:t>
      </w:r>
      <w:r w:rsidRPr="00390AB3">
        <w:rPr>
          <w:lang w:val="en-GB"/>
        </w:rPr>
        <w:t xml:space="preserve">to the private </w:t>
      </w:r>
      <w:r>
        <w:rPr>
          <w:lang w:val="en-GB"/>
        </w:rPr>
        <w:t xml:space="preserve">non-financial </w:t>
      </w:r>
      <w:r w:rsidRPr="00390AB3">
        <w:rPr>
          <w:lang w:val="en-GB"/>
        </w:rPr>
        <w:t>sector (households, non-financial</w:t>
      </w:r>
      <w:r>
        <w:rPr>
          <w:lang w:val="en-GB"/>
        </w:rPr>
        <w:t xml:space="preserve"> </w:t>
      </w:r>
      <w:r w:rsidRPr="00390AB3">
        <w:rPr>
          <w:lang w:val="en-GB"/>
        </w:rPr>
        <w:t>corporations and non-profit institutions serving households) plus debt securities issued.</w:t>
      </w:r>
      <w:r>
        <w:rPr>
          <w:lang w:val="en-GB"/>
        </w:rPr>
        <w:t xml:space="preserve"> The recommended smoothing parameter for the HP filter</w:t>
      </w:r>
      <w:r w:rsidRPr="00656FF1">
        <w:rPr>
          <w:lang w:val="en-GB"/>
        </w:rPr>
        <w:t>, λ,</w:t>
      </w:r>
      <w:r>
        <w:rPr>
          <w:lang w:val="en-GB"/>
        </w:rPr>
        <w:t xml:space="preserve"> is </w:t>
      </w:r>
      <w:r w:rsidRPr="00656FF1">
        <w:rPr>
          <w:lang w:val="en-GB"/>
        </w:rPr>
        <w:t>400</w:t>
      </w:r>
      <w:r>
        <w:rPr>
          <w:lang w:val="en-GB"/>
        </w:rPr>
        <w:t>,</w:t>
      </w:r>
      <w:r w:rsidRPr="00656FF1">
        <w:rPr>
          <w:lang w:val="en-GB"/>
        </w:rPr>
        <w:t xml:space="preserve">000. </w:t>
      </w:r>
      <w:r>
        <w:rPr>
          <w:lang w:val="en-GB"/>
        </w:rPr>
        <w:t>The benchmark buffer rate is 0% of risk-weighted assets if the gap is less than or equal to 2 pp and is greater than zero if the gap is larger than 2 pp. The equation used to calculate the rate on the basis of the gaps is: benchmark buffer rate</w:t>
      </w:r>
      <w:r w:rsidRPr="00656FF1">
        <w:rPr>
          <w:lang w:val="en-GB"/>
        </w:rPr>
        <w:t xml:space="preserve"> = 0</w:t>
      </w:r>
      <w:r>
        <w:rPr>
          <w:lang w:val="en-GB"/>
        </w:rPr>
        <w:t>.</w:t>
      </w:r>
      <w:r w:rsidRPr="00656FF1">
        <w:rPr>
          <w:lang w:val="en-GB"/>
        </w:rPr>
        <w:t>3125*(</w:t>
      </w:r>
      <w:r>
        <w:rPr>
          <w:lang w:val="en-GB"/>
        </w:rPr>
        <w:t>gap</w:t>
      </w:r>
      <w:r w:rsidRPr="00656FF1">
        <w:rPr>
          <w:lang w:val="en-GB"/>
        </w:rPr>
        <w:t>) – 0</w:t>
      </w:r>
      <w:r>
        <w:rPr>
          <w:lang w:val="en-GB"/>
        </w:rPr>
        <w:t>.</w:t>
      </w:r>
      <w:r w:rsidRPr="00656FF1">
        <w:rPr>
          <w:lang w:val="en-GB"/>
        </w:rPr>
        <w:t xml:space="preserve">625. </w:t>
      </w:r>
      <w:r>
        <w:rPr>
          <w:lang w:val="en-GB"/>
        </w:rPr>
        <w:t>The benchmark buffer rate is 2.5% if the gap is greater than or equal to 10 pp. The resulting benchmark buffer rate should be calibrated in steps of 0.25 pp or multiples thereof</w:t>
      </w:r>
      <w:r w:rsidRPr="00656FF1">
        <w:rPr>
          <w:lang w:val="en-GB"/>
        </w:rPr>
        <w:t>.</w:t>
      </w:r>
    </w:p>
  </w:footnote>
  <w:footnote w:id="4">
    <w:p w:rsidR="00CD7EA4" w:rsidRPr="00656FF1" w:rsidRDefault="00CD7EA4" w:rsidP="000173BD">
      <w:pPr>
        <w:pStyle w:val="Textpoznpodarou"/>
        <w:jc w:val="both"/>
        <w:rPr>
          <w:lang w:val="en-GB"/>
        </w:rPr>
      </w:pPr>
      <w:r w:rsidRPr="00656FF1">
        <w:rPr>
          <w:rStyle w:val="Znakapoznpodarou"/>
          <w:lang w:val="en-GB"/>
        </w:rPr>
        <w:footnoteRef/>
      </w:r>
      <w:r w:rsidRPr="00656FF1">
        <w:rPr>
          <w:lang w:val="en-GB"/>
        </w:rPr>
        <w:t xml:space="preserve"> </w:t>
      </w:r>
      <w:r>
        <w:rPr>
          <w:lang w:val="en-GB"/>
        </w:rPr>
        <w:t>To reveal extremes indicating credit expansion, the CNB uses the difference between the present value of the ratio and the minimum value achieved in the past eight quarters. Other time periods were tested but the results remained robust. This analysis is loosely inspired by the definition of the cycle proposed in</w:t>
      </w:r>
      <w:r w:rsidRPr="00656FF1">
        <w:rPr>
          <w:lang w:val="en-GB"/>
        </w:rPr>
        <w:t xml:space="preserve"> Burns</w:t>
      </w:r>
      <w:r>
        <w:rPr>
          <w:lang w:val="en-GB"/>
        </w:rPr>
        <w:t xml:space="preserve"> and </w:t>
      </w:r>
      <w:r w:rsidRPr="00656FF1">
        <w:rPr>
          <w:lang w:val="en-GB"/>
        </w:rPr>
        <w:t>Mitche</w:t>
      </w:r>
      <w:r>
        <w:rPr>
          <w:lang w:val="en-GB"/>
        </w:rPr>
        <w:t>l</w:t>
      </w:r>
      <w:r w:rsidRPr="00656FF1">
        <w:rPr>
          <w:lang w:val="en-GB"/>
        </w:rPr>
        <w:t xml:space="preserve">l (1946) </w:t>
      </w:r>
      <w:r>
        <w:rPr>
          <w:lang w:val="en-GB"/>
        </w:rPr>
        <w:t xml:space="preserve">and by the </w:t>
      </w:r>
      <w:r w:rsidRPr="000173BD">
        <w:rPr>
          <w:lang w:val="en-GB"/>
        </w:rPr>
        <w:t>unemployment recession gap</w:t>
      </w:r>
      <w:r>
        <w:rPr>
          <w:lang w:val="en-GB"/>
        </w:rPr>
        <w:t xml:space="preserve"> </w:t>
      </w:r>
      <w:r w:rsidRPr="00656FF1">
        <w:rPr>
          <w:lang w:val="en-GB"/>
        </w:rPr>
        <w:t>(Stock</w:t>
      </w:r>
      <w:r>
        <w:rPr>
          <w:lang w:val="en-GB"/>
        </w:rPr>
        <w:t xml:space="preserve"> and </w:t>
      </w:r>
      <w:r w:rsidRPr="00656FF1">
        <w:rPr>
          <w:lang w:val="en-GB"/>
        </w:rPr>
        <w:t>Watson, 2010).</w:t>
      </w:r>
    </w:p>
  </w:footnote>
  <w:footnote w:id="5">
    <w:p w:rsidR="00CD7EA4" w:rsidRPr="00656FF1" w:rsidRDefault="00CD7EA4" w:rsidP="008E349D">
      <w:pPr>
        <w:pStyle w:val="Textpoznpodarou"/>
        <w:jc w:val="both"/>
        <w:rPr>
          <w:lang w:val="en-GB"/>
        </w:rPr>
      </w:pPr>
      <w:r w:rsidRPr="00656FF1">
        <w:rPr>
          <w:rStyle w:val="Znakapoznpodarou"/>
          <w:lang w:val="en-GB"/>
        </w:rPr>
        <w:footnoteRef/>
      </w:r>
      <w:r w:rsidRPr="00656FF1">
        <w:rPr>
          <w:lang w:val="en-GB"/>
        </w:rPr>
        <w:t xml:space="preserve"> </w:t>
      </w:r>
      <w:r>
        <w:rPr>
          <w:lang w:val="en-GB"/>
        </w:rPr>
        <w:t xml:space="preserve">The indicators are </w:t>
      </w:r>
      <w:r w:rsidRPr="00030365">
        <w:rPr>
          <w:lang w:val="en-GB"/>
        </w:rPr>
        <w:t>credit growth, property prices,</w:t>
      </w:r>
      <w:r>
        <w:rPr>
          <w:lang w:val="en-GB"/>
        </w:rPr>
        <w:t xml:space="preserve"> lending conditions, sustainability of the debt of non-financial corporations and households, asset prices</w:t>
      </w:r>
      <w:r w:rsidRPr="00030365">
        <w:rPr>
          <w:lang w:val="en-GB"/>
        </w:rPr>
        <w:t xml:space="preserve"> </w:t>
      </w:r>
      <w:r>
        <w:rPr>
          <w:lang w:val="en-GB"/>
        </w:rPr>
        <w:t>and the</w:t>
      </w:r>
      <w:r w:rsidRPr="00030365">
        <w:rPr>
          <w:lang w:val="en-GB"/>
        </w:rPr>
        <w:t xml:space="preserve"> </w:t>
      </w:r>
      <w:r>
        <w:rPr>
          <w:lang w:val="en-GB"/>
        </w:rPr>
        <w:t>a</w:t>
      </w:r>
      <w:r w:rsidRPr="00030365">
        <w:rPr>
          <w:lang w:val="en-GB"/>
        </w:rPr>
        <w:t>djusted current account deficit-to-GDP ratio.</w:t>
      </w:r>
      <w:r>
        <w:rPr>
          <w:lang w:val="en-GB"/>
        </w:rPr>
        <w:t xml:space="preserve"> The IFC takes into account</w:t>
      </w:r>
      <w:r w:rsidRPr="00030365">
        <w:rPr>
          <w:rFonts w:ascii="Frutiger LT Pro 45 Light" w:hAnsi="Frutiger LT Pro 45 Light" w:cs="Frutiger LT Pro 45 Light"/>
          <w:color w:val="000000"/>
          <w:sz w:val="18"/>
          <w:szCs w:val="18"/>
          <w:lang w:val="en-GB"/>
        </w:rPr>
        <w:t xml:space="preserve"> </w:t>
      </w:r>
      <w:r w:rsidRPr="00030365">
        <w:rPr>
          <w:lang w:val="en-GB"/>
        </w:rPr>
        <w:t xml:space="preserve">the changing cross-correlation structure and takes its highest values at times of rising synchronisation between </w:t>
      </w:r>
      <w:r>
        <w:rPr>
          <w:lang w:val="en-GB"/>
        </w:rPr>
        <w:t>all the input signals</w:t>
      </w:r>
      <w:r w:rsidRPr="00030365">
        <w:rPr>
          <w:lang w:val="en-GB"/>
        </w:rPr>
        <w:t>.</w:t>
      </w:r>
      <w:r>
        <w:rPr>
          <w:lang w:val="en-GB"/>
        </w:rPr>
        <w:t xml:space="preserve"> The weights of the variables in the composite indicator are calibrated so that the indicator best predicts the loan impairment losses observed in the Czech banking sector (i.e. the risk materialisation phase</w:t>
      </w:r>
      <w:r w:rsidRPr="00656FF1">
        <w:rPr>
          <w:lang w:val="en-GB"/>
        </w:rPr>
        <w:t>).</w:t>
      </w:r>
    </w:p>
  </w:footnote>
  <w:footnote w:id="6">
    <w:p w:rsidR="00861604" w:rsidRPr="00656FF1" w:rsidRDefault="00861604" w:rsidP="00861604">
      <w:pPr>
        <w:pStyle w:val="Textpoznpodarou"/>
        <w:jc w:val="both"/>
        <w:rPr>
          <w:lang w:val="en-GB"/>
        </w:rPr>
      </w:pPr>
      <w:r w:rsidRPr="00656FF1">
        <w:rPr>
          <w:rStyle w:val="Znakapoznpodarou"/>
          <w:lang w:val="en-GB"/>
        </w:rPr>
        <w:footnoteRef/>
      </w:r>
      <w:r w:rsidRPr="00656FF1">
        <w:rPr>
          <w:lang w:val="en-GB"/>
        </w:rPr>
        <w:t xml:space="preserve"> </w:t>
      </w:r>
      <w:proofErr w:type="spellStart"/>
      <w:r>
        <w:rPr>
          <w:lang w:val="en-GB"/>
        </w:rPr>
        <w:t>CCyB</w:t>
      </w:r>
      <w:proofErr w:type="spellEnd"/>
      <w:r>
        <w:rPr>
          <w:lang w:val="en-GB"/>
        </w:rPr>
        <w:t xml:space="preserve"> rate decision-making here primarily</w:t>
      </w:r>
      <w:r w:rsidRPr="003B4142">
        <w:rPr>
          <w:lang w:val="en-GB"/>
        </w:rPr>
        <w:t xml:space="preserve"> </w:t>
      </w:r>
      <w:r>
        <w:rPr>
          <w:lang w:val="en-GB"/>
        </w:rPr>
        <w:t>refers to gradually increasing or decreasing the rate. The decision-making process on cancelling a non-zero rate in order to release the buffer can take the form of a rapid reaction to an unexpected shock or an event generating a risk to financial stability (see Figure 7 in</w:t>
      </w:r>
      <w:r w:rsidRPr="00656FF1">
        <w:rPr>
          <w:lang w:val="en-GB"/>
        </w:rPr>
        <w:t xml:space="preserve"> Frait</w:t>
      </w:r>
      <w:r>
        <w:rPr>
          <w:lang w:val="en-GB"/>
        </w:rPr>
        <w:t xml:space="preserve"> and </w:t>
      </w:r>
      <w:r w:rsidRPr="00656FF1">
        <w:rPr>
          <w:lang w:val="en-GB"/>
        </w:rPr>
        <w:t xml:space="preserve">Komárková, 2012, </w:t>
      </w:r>
      <w:r>
        <w:rPr>
          <w:lang w:val="en-GB"/>
        </w:rPr>
        <w:t>p. </w:t>
      </w:r>
      <w:r w:rsidRPr="00656FF1">
        <w:rPr>
          <w:lang w:val="en-GB"/>
        </w:rPr>
        <w:t xml:space="preserve">22). </w:t>
      </w:r>
    </w:p>
  </w:footnote>
  <w:footnote w:id="7">
    <w:p w:rsidR="00CD7EA4" w:rsidRPr="00656FF1" w:rsidRDefault="00CD7EA4" w:rsidP="00B47314">
      <w:pPr>
        <w:pStyle w:val="Textpoznpodarou"/>
        <w:jc w:val="both"/>
        <w:rPr>
          <w:lang w:val="en-GB"/>
        </w:rPr>
      </w:pPr>
      <w:r w:rsidRPr="00656FF1">
        <w:rPr>
          <w:rStyle w:val="Znakapoznpodarou"/>
          <w:lang w:val="en-GB"/>
        </w:rPr>
        <w:footnoteRef/>
      </w:r>
      <w:r w:rsidRPr="00656FF1">
        <w:rPr>
          <w:lang w:val="en-GB"/>
        </w:rPr>
        <w:t xml:space="preserve"> </w:t>
      </w:r>
      <w:r>
        <w:rPr>
          <w:lang w:val="en-GB"/>
        </w:rPr>
        <w:t>Unlike traditional bootstrap techniques, this method preserves the cyclical properties of the time series and is also suitable for directly simulating non-stationary series.</w:t>
      </w:r>
      <w:r w:rsidR="00AE2F6A">
        <w:rPr>
          <w:lang w:val="en-GB"/>
        </w:rPr>
        <w:t xml:space="preserve"> A total of</w:t>
      </w:r>
      <w:r>
        <w:rPr>
          <w:lang w:val="en-GB"/>
        </w:rPr>
        <w:t xml:space="preserve"> 1,000 bootstrap simulations with a time period of 12 quarters </w:t>
      </w:r>
      <w:r w:rsidR="00443DF7">
        <w:rPr>
          <w:lang w:val="en-GB"/>
        </w:rPr>
        <w:t xml:space="preserve">were performed </w:t>
      </w:r>
      <w:r>
        <w:rPr>
          <w:lang w:val="en-GB"/>
        </w:rPr>
        <w:t>for variables including</w:t>
      </w:r>
      <w:r w:rsidRPr="00B47314">
        <w:rPr>
          <w:lang w:val="en-GB"/>
        </w:rPr>
        <w:t xml:space="preserve"> </w:t>
      </w:r>
      <w:r w:rsidRPr="00656FF1">
        <w:rPr>
          <w:lang w:val="en-GB"/>
        </w:rPr>
        <w:t>PD, LGD</w:t>
      </w:r>
      <w:r>
        <w:rPr>
          <w:lang w:val="en-GB"/>
        </w:rPr>
        <w:t xml:space="preserve"> and growth in bank loans for the sectors of non-financial corporations and households. The LGD values in the simulation are limited as follows</w:t>
      </w:r>
      <w:r w:rsidRPr="00656FF1">
        <w:rPr>
          <w:lang w:val="en-GB"/>
        </w:rPr>
        <w:t>: (</w:t>
      </w:r>
      <w:proofErr w:type="spellStart"/>
      <w:r w:rsidRPr="00656FF1">
        <w:rPr>
          <w:lang w:val="en-GB"/>
        </w:rPr>
        <w:t>i</w:t>
      </w:r>
      <w:proofErr w:type="spellEnd"/>
      <w:r w:rsidRPr="00656FF1">
        <w:rPr>
          <w:lang w:val="en-GB"/>
        </w:rPr>
        <w:t>)</w:t>
      </w:r>
      <w:r>
        <w:rPr>
          <w:lang w:val="en-GB"/>
        </w:rPr>
        <w:t> non-financial corporations: 0.</w:t>
      </w:r>
      <w:r w:rsidRPr="00656FF1">
        <w:rPr>
          <w:lang w:val="en-GB"/>
        </w:rPr>
        <w:t>45–0</w:t>
      </w:r>
      <w:r>
        <w:rPr>
          <w:lang w:val="en-GB"/>
        </w:rPr>
        <w:t>.</w:t>
      </w:r>
      <w:r w:rsidRPr="00656FF1">
        <w:rPr>
          <w:lang w:val="en-GB"/>
        </w:rPr>
        <w:t>55; (ii)</w:t>
      </w:r>
      <w:r>
        <w:rPr>
          <w:lang w:val="en-GB"/>
        </w:rPr>
        <w:t xml:space="preserve"> households </w:t>
      </w:r>
      <w:r w:rsidRPr="00656FF1">
        <w:rPr>
          <w:lang w:val="en-GB"/>
        </w:rPr>
        <w:t xml:space="preserve">– </w:t>
      </w:r>
      <w:r>
        <w:rPr>
          <w:lang w:val="en-GB"/>
        </w:rPr>
        <w:t>loans for house purchase</w:t>
      </w:r>
      <w:r w:rsidRPr="00656FF1">
        <w:rPr>
          <w:lang w:val="en-GB"/>
        </w:rPr>
        <w:t>: 0</w:t>
      </w:r>
      <w:r>
        <w:rPr>
          <w:lang w:val="en-GB"/>
        </w:rPr>
        <w:t>.</w:t>
      </w:r>
      <w:r w:rsidRPr="00656FF1">
        <w:rPr>
          <w:lang w:val="en-GB"/>
        </w:rPr>
        <w:t>2–0</w:t>
      </w:r>
      <w:r>
        <w:rPr>
          <w:lang w:val="en-GB"/>
        </w:rPr>
        <w:t>.</w:t>
      </w:r>
      <w:r w:rsidRPr="00656FF1">
        <w:rPr>
          <w:lang w:val="en-GB"/>
        </w:rPr>
        <w:t>3;</w:t>
      </w:r>
      <w:r>
        <w:rPr>
          <w:lang w:val="en-GB"/>
        </w:rPr>
        <w:t xml:space="preserve"> (iii) households </w:t>
      </w:r>
      <w:r w:rsidRPr="00656FF1">
        <w:rPr>
          <w:lang w:val="en-GB"/>
        </w:rPr>
        <w:t xml:space="preserve">– </w:t>
      </w:r>
      <w:r>
        <w:rPr>
          <w:lang w:val="en-GB"/>
        </w:rPr>
        <w:t>consumer credit</w:t>
      </w:r>
      <w:r w:rsidRPr="00656FF1">
        <w:rPr>
          <w:lang w:val="en-GB"/>
        </w:rPr>
        <w:t>: 0</w:t>
      </w:r>
      <w:r>
        <w:rPr>
          <w:lang w:val="en-GB"/>
        </w:rPr>
        <w:t>.</w:t>
      </w:r>
      <w:r w:rsidRPr="00656FF1">
        <w:rPr>
          <w:lang w:val="en-GB"/>
        </w:rPr>
        <w:t>55–0</w:t>
      </w:r>
      <w:r>
        <w:rPr>
          <w:lang w:val="en-GB"/>
        </w:rPr>
        <w:t>.</w:t>
      </w:r>
      <w:r w:rsidRPr="00656FF1">
        <w:rPr>
          <w:lang w:val="en-GB"/>
        </w:rPr>
        <w:t>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EA4" w:rsidRPr="003E3CEE" w:rsidRDefault="00CD7EA4" w:rsidP="00574209">
    <w:pPr>
      <w:jc w:val="right"/>
      <w:rPr>
        <w:b/>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36EB8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3025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30CE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AAC1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3E1D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18F0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A238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74D0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CEBD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A451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1103F"/>
    <w:multiLevelType w:val="multilevel"/>
    <w:tmpl w:val="E64CADFA"/>
    <w:lvl w:ilvl="0">
      <w:start w:val="1"/>
      <w:numFmt w:val="decimal"/>
      <w:lvlText w:val="%1"/>
      <w:lvlJc w:val="left"/>
      <w:pPr>
        <w:tabs>
          <w:tab w:val="num" w:pos="227"/>
        </w:tabs>
        <w:ind w:left="170" w:hanging="170"/>
      </w:pPr>
      <w:rPr>
        <w:rFonts w:hint="default"/>
        <w:b/>
        <w:bCs w:val="0"/>
        <w:i w:val="0"/>
        <w:iCs w:val="0"/>
        <w:caps w:val="0"/>
        <w:smallCaps w:val="0"/>
        <w:strike w:val="0"/>
        <w:dstrike w:val="0"/>
        <w:outline w:val="0"/>
        <w:shadow w:val="0"/>
        <w:emboss w:val="0"/>
        <w:imprint w:val="0"/>
        <w:snapToGrid w:val="0"/>
        <w:vanish w:val="0"/>
        <w:color w:val="auto"/>
        <w:spacing w:val="0"/>
        <w:w w:val="0"/>
        <w:kern w:val="0"/>
        <w:position w:val="0"/>
        <w:sz w:val="21"/>
        <w:szCs w:val="21"/>
        <w:u w:val="none"/>
        <w:vertAlign w:val="baseline"/>
      </w:rPr>
    </w:lvl>
    <w:lvl w:ilvl="1">
      <w:start w:val="1"/>
      <w:numFmt w:val="decimal"/>
      <w:lvlText w:val="%1.%2"/>
      <w:lvlJc w:val="left"/>
      <w:pPr>
        <w:tabs>
          <w:tab w:val="num" w:pos="1440"/>
        </w:tabs>
        <w:ind w:left="1440" w:hanging="720"/>
      </w:pPr>
      <w:rPr>
        <w:rFonts w:hint="default"/>
        <w:b/>
        <w:i w:val="0"/>
        <w:sz w:val="19"/>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020119D7"/>
    <w:multiLevelType w:val="hybridMultilevel"/>
    <w:tmpl w:val="C700E440"/>
    <w:lvl w:ilvl="0" w:tplc="1714DBC4">
      <w:numFmt w:val="bullet"/>
      <w:lvlText w:val="-"/>
      <w:lvlJc w:val="left"/>
      <w:pPr>
        <w:ind w:left="720" w:hanging="360"/>
      </w:pPr>
      <w:rPr>
        <w:rFonts w:ascii="Times New Roman" w:eastAsia="Times New Roman" w:hAnsi="Times New Roman"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6920112"/>
    <w:multiLevelType w:val="multilevel"/>
    <w:tmpl w:val="2B7A6760"/>
    <w:lvl w:ilvl="0">
      <w:start w:val="1"/>
      <w:numFmt w:val="decimal"/>
      <w:lvlText w:val="%1"/>
      <w:lvlJc w:val="left"/>
      <w:pPr>
        <w:tabs>
          <w:tab w:val="num" w:pos="0"/>
        </w:tabs>
        <w:ind w:left="284" w:hanging="284"/>
      </w:pPr>
      <w:rPr>
        <w:rFonts w:hint="default"/>
        <w:b/>
        <w:bCs w:val="0"/>
        <w:i w:val="0"/>
        <w:iCs w:val="0"/>
        <w:caps w:val="0"/>
        <w:smallCaps w:val="0"/>
        <w:strike w:val="0"/>
        <w:dstrike w:val="0"/>
        <w:outline w:val="0"/>
        <w:shadow w:val="0"/>
        <w:emboss w:val="0"/>
        <w:imprint w:val="0"/>
        <w:snapToGrid w:val="0"/>
        <w:vanish w:val="0"/>
        <w:color w:val="auto"/>
        <w:spacing w:val="0"/>
        <w:w w:val="0"/>
        <w:kern w:val="0"/>
        <w:position w:val="0"/>
        <w:sz w:val="21"/>
        <w:szCs w:val="21"/>
        <w:u w:val="none"/>
        <w:vertAlign w:val="baseline"/>
      </w:rPr>
    </w:lvl>
    <w:lvl w:ilvl="1">
      <w:start w:val="1"/>
      <w:numFmt w:val="decimal"/>
      <w:lvlText w:val="%1.%2"/>
      <w:lvlJc w:val="left"/>
      <w:pPr>
        <w:tabs>
          <w:tab w:val="num" w:pos="720"/>
        </w:tabs>
        <w:ind w:left="0" w:firstLine="720"/>
      </w:pPr>
      <w:rPr>
        <w:rFonts w:hint="default"/>
        <w:b/>
        <w:i w:val="0"/>
        <w:sz w:val="19"/>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25DA48C9"/>
    <w:multiLevelType w:val="multilevel"/>
    <w:tmpl w:val="BDB419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E787673"/>
    <w:multiLevelType w:val="multilevel"/>
    <w:tmpl w:val="0F7E939A"/>
    <w:lvl w:ilvl="0">
      <w:start w:val="1"/>
      <w:numFmt w:val="decimal"/>
      <w:lvlText w:val="%1"/>
      <w:lvlJc w:val="left"/>
      <w:pPr>
        <w:tabs>
          <w:tab w:val="num" w:pos="0"/>
        </w:tabs>
        <w:ind w:left="284" w:hanging="284"/>
      </w:pPr>
      <w:rPr>
        <w:rFonts w:hint="default"/>
        <w:b/>
        <w:bCs w:val="0"/>
        <w:i w:val="0"/>
        <w:iCs w:val="0"/>
        <w:caps w:val="0"/>
        <w:smallCaps w:val="0"/>
        <w:strike w:val="0"/>
        <w:dstrike w:val="0"/>
        <w:outline w:val="0"/>
        <w:shadow w:val="0"/>
        <w:emboss w:val="0"/>
        <w:imprint w:val="0"/>
        <w:snapToGrid w:val="0"/>
        <w:vanish w:val="0"/>
        <w:color w:val="auto"/>
        <w:spacing w:val="0"/>
        <w:w w:val="0"/>
        <w:kern w:val="0"/>
        <w:position w:val="0"/>
        <w:sz w:val="21"/>
        <w:szCs w:val="21"/>
        <w:u w:val="none"/>
        <w:vertAlign w:val="baseline"/>
      </w:rPr>
    </w:lvl>
    <w:lvl w:ilvl="1">
      <w:start w:val="1"/>
      <w:numFmt w:val="decimal"/>
      <w:lvlText w:val="%1.%2"/>
      <w:lvlJc w:val="left"/>
      <w:pPr>
        <w:tabs>
          <w:tab w:val="num" w:pos="1440"/>
        </w:tabs>
        <w:ind w:left="1440" w:hanging="720"/>
      </w:pPr>
      <w:rPr>
        <w:rFonts w:hint="default"/>
        <w:b/>
        <w:i w:val="0"/>
        <w:sz w:val="19"/>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15:restartNumberingAfterBreak="0">
    <w:nsid w:val="3C553E89"/>
    <w:multiLevelType w:val="multilevel"/>
    <w:tmpl w:val="10FE3ECA"/>
    <w:lvl w:ilvl="0">
      <w:start w:val="1"/>
      <w:numFmt w:val="decimal"/>
      <w:pStyle w:val="articleNadpis2uroven"/>
      <w:lvlText w:val="%1"/>
      <w:lvlJc w:val="left"/>
      <w:pPr>
        <w:tabs>
          <w:tab w:val="num" w:pos="0"/>
        </w:tabs>
        <w:ind w:left="284" w:hanging="284"/>
      </w:pPr>
      <w:rPr>
        <w:rFonts w:hint="default"/>
        <w:b/>
        <w:bCs w:val="0"/>
        <w:i w:val="0"/>
        <w:iCs w:val="0"/>
        <w:caps w:val="0"/>
        <w:smallCaps w:val="0"/>
        <w:strike w:val="0"/>
        <w:dstrike w:val="0"/>
        <w:outline w:val="0"/>
        <w:shadow w:val="0"/>
        <w:emboss w:val="0"/>
        <w:imprint w:val="0"/>
        <w:snapToGrid w:val="0"/>
        <w:vanish w:val="0"/>
        <w:color w:val="auto"/>
        <w:spacing w:val="0"/>
        <w:w w:val="0"/>
        <w:kern w:val="0"/>
        <w:position w:val="0"/>
        <w:sz w:val="21"/>
        <w:szCs w:val="21"/>
        <w:u w:val="none"/>
        <w:vertAlign w:val="baseline"/>
      </w:rPr>
    </w:lvl>
    <w:lvl w:ilvl="1">
      <w:start w:val="1"/>
      <w:numFmt w:val="decimal"/>
      <w:pStyle w:val="articleNadpis3uroven"/>
      <w:lvlText w:val="%1.%2"/>
      <w:lvlJc w:val="left"/>
      <w:pPr>
        <w:tabs>
          <w:tab w:val="num" w:pos="578"/>
        </w:tabs>
        <w:ind w:left="454" w:hanging="454"/>
      </w:pPr>
      <w:rPr>
        <w:rFonts w:hint="default"/>
        <w:b/>
        <w:i w:val="0"/>
        <w:sz w:val="19"/>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15:restartNumberingAfterBreak="0">
    <w:nsid w:val="47D90ECC"/>
    <w:multiLevelType w:val="multilevel"/>
    <w:tmpl w:val="961883C2"/>
    <w:lvl w:ilvl="0">
      <w:start w:val="1"/>
      <w:numFmt w:val="decimal"/>
      <w:lvlText w:val="%1"/>
      <w:lvlJc w:val="left"/>
      <w:pPr>
        <w:ind w:left="284" w:hanging="284"/>
      </w:pPr>
      <w:rPr>
        <w:rFonts w:ascii="Calibri" w:hAnsi="Calibri" w:cs="Calibri" w:hint="default"/>
        <w:b/>
        <w:bCs w:val="0"/>
        <w:i w:val="0"/>
        <w:iCs w:val="0"/>
        <w:caps w:val="0"/>
        <w:smallCaps w:val="0"/>
        <w:strike w:val="0"/>
        <w:dstrike w:val="0"/>
        <w:outline w:val="0"/>
        <w:shadow w:val="0"/>
        <w:emboss w:val="0"/>
        <w:imprint w:val="0"/>
        <w:snapToGrid w:val="0"/>
        <w:vanish w:val="0"/>
        <w:color w:val="auto"/>
        <w:spacing w:val="0"/>
        <w:w w:val="0"/>
        <w:kern w:val="0"/>
        <w:position w:val="0"/>
        <w:sz w:val="21"/>
        <w:szCs w:val="21"/>
        <w:u w:val="none"/>
        <w:vertAlign w:val="baseline"/>
      </w:rPr>
    </w:lvl>
    <w:lvl w:ilvl="1">
      <w:start w:val="1"/>
      <w:numFmt w:val="decimal"/>
      <w:lvlText w:val="%1.%2"/>
      <w:lvlJc w:val="left"/>
      <w:pPr>
        <w:tabs>
          <w:tab w:val="num" w:pos="576"/>
        </w:tabs>
        <w:ind w:left="454" w:hanging="454"/>
      </w:pPr>
      <w:rPr>
        <w:rFonts w:ascii="Frutiger CE 45 Light" w:hAnsi="Frutiger CE 45 Light" w:cs="Times New Roman" w:hint="default"/>
        <w:b/>
        <w:i w:val="0"/>
        <w:sz w:val="19"/>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47E572AE"/>
    <w:multiLevelType w:val="multilevel"/>
    <w:tmpl w:val="D422945A"/>
    <w:lvl w:ilvl="0">
      <w:start w:val="1"/>
      <w:numFmt w:val="decimal"/>
      <w:lvlText w:val="%1."/>
      <w:lvlJc w:val="left"/>
      <w:pPr>
        <w:tabs>
          <w:tab w:val="num" w:pos="720"/>
        </w:tabs>
        <w:ind w:left="720" w:hanging="720"/>
      </w:pPr>
      <w:rPr>
        <w:rFonts w:hint="default"/>
        <w:b/>
        <w:bCs w:val="0"/>
        <w:i w:val="0"/>
        <w:iCs w:val="0"/>
        <w:caps w:val="0"/>
        <w:smallCaps w:val="0"/>
        <w:strike w:val="0"/>
        <w:dstrike w:val="0"/>
        <w:outline w:val="0"/>
        <w:shadow w:val="0"/>
        <w:emboss w:val="0"/>
        <w:imprint w:val="0"/>
        <w:snapToGrid w:val="0"/>
        <w:vanish w:val="0"/>
        <w:color w:val="auto"/>
        <w:spacing w:val="0"/>
        <w:w w:val="0"/>
        <w:kern w:val="0"/>
        <w:position w:val="0"/>
        <w:sz w:val="21"/>
        <w:szCs w:val="21"/>
        <w:u w:val="none"/>
        <w:vertAlign w:val="baseline"/>
      </w:rPr>
    </w:lvl>
    <w:lvl w:ilvl="1">
      <w:start w:val="1"/>
      <w:numFmt w:val="decimal"/>
      <w:lvlText w:val="%2."/>
      <w:lvlJc w:val="left"/>
      <w:pPr>
        <w:tabs>
          <w:tab w:val="num" w:pos="1440"/>
        </w:tabs>
        <w:ind w:left="1440" w:hanging="720"/>
      </w:pPr>
      <w:rPr>
        <w:rFonts w:hint="default"/>
        <w:b/>
        <w:i w:val="0"/>
        <w:sz w:val="19"/>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597513BA"/>
    <w:multiLevelType w:val="multilevel"/>
    <w:tmpl w:val="A0AA14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hint="default"/>
        <w:b/>
        <w:i w:val="0"/>
        <w:sz w:val="22"/>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9" w15:restartNumberingAfterBreak="0">
    <w:nsid w:val="59AD010A"/>
    <w:multiLevelType w:val="multilevel"/>
    <w:tmpl w:val="CABE533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5CB3118C"/>
    <w:multiLevelType w:val="multilevel"/>
    <w:tmpl w:val="F83E0A7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6025448C"/>
    <w:multiLevelType w:val="multilevel"/>
    <w:tmpl w:val="BE984670"/>
    <w:lvl w:ilvl="0">
      <w:start w:val="1"/>
      <w:numFmt w:val="decimal"/>
      <w:lvlText w:val="%1."/>
      <w:lvlJc w:val="left"/>
      <w:pPr>
        <w:tabs>
          <w:tab w:val="num" w:pos="720"/>
        </w:tabs>
        <w:ind w:left="720" w:hanging="720"/>
      </w:pPr>
      <w:rPr>
        <w:rFonts w:hint="default"/>
        <w:b/>
        <w:bCs w:val="0"/>
        <w:i w:val="0"/>
        <w:iCs w:val="0"/>
        <w:caps w:val="0"/>
        <w:smallCaps w:val="0"/>
        <w:strike w:val="0"/>
        <w:dstrike w:val="0"/>
        <w:outline w:val="0"/>
        <w:shadow w:val="0"/>
        <w:emboss w:val="0"/>
        <w:imprint w:val="0"/>
        <w:snapToGrid w:val="0"/>
        <w:vanish w:val="0"/>
        <w:color w:val="auto"/>
        <w:spacing w:val="0"/>
        <w:w w:val="0"/>
        <w:kern w:val="0"/>
        <w:position w:val="0"/>
        <w:sz w:val="21"/>
        <w:szCs w:val="21"/>
        <w:u w:val="none"/>
        <w:vertAlign w:val="baseline"/>
      </w:rPr>
    </w:lvl>
    <w:lvl w:ilvl="1">
      <w:start w:val="1"/>
      <w:numFmt w:val="decimal"/>
      <w:lvlText w:val="%1.%2"/>
      <w:lvlJc w:val="left"/>
      <w:pPr>
        <w:tabs>
          <w:tab w:val="num" w:pos="1440"/>
        </w:tabs>
        <w:ind w:left="1440" w:hanging="720"/>
      </w:pPr>
      <w:rPr>
        <w:rFonts w:hint="default"/>
        <w:b/>
        <w:i w:val="0"/>
        <w:sz w:val="19"/>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60933691"/>
    <w:multiLevelType w:val="hybridMultilevel"/>
    <w:tmpl w:val="2BA854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4130D5"/>
    <w:multiLevelType w:val="hybridMultilevel"/>
    <w:tmpl w:val="56BE1E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873195"/>
    <w:multiLevelType w:val="multilevel"/>
    <w:tmpl w:val="BDB419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8420833"/>
    <w:multiLevelType w:val="multilevel"/>
    <w:tmpl w:val="961883C2"/>
    <w:lvl w:ilvl="0">
      <w:start w:val="1"/>
      <w:numFmt w:val="decimal"/>
      <w:lvlText w:val="%1"/>
      <w:lvlJc w:val="left"/>
      <w:pPr>
        <w:ind w:left="284" w:hanging="284"/>
      </w:pPr>
      <w:rPr>
        <w:rFonts w:ascii="Calibri" w:hAnsi="Calibri" w:cs="Calibri" w:hint="default"/>
        <w:b/>
        <w:bCs w:val="0"/>
        <w:i w:val="0"/>
        <w:iCs w:val="0"/>
        <w:caps w:val="0"/>
        <w:smallCaps w:val="0"/>
        <w:strike w:val="0"/>
        <w:dstrike w:val="0"/>
        <w:outline w:val="0"/>
        <w:shadow w:val="0"/>
        <w:emboss w:val="0"/>
        <w:imprint w:val="0"/>
        <w:snapToGrid w:val="0"/>
        <w:vanish w:val="0"/>
        <w:color w:val="auto"/>
        <w:spacing w:val="0"/>
        <w:w w:val="0"/>
        <w:kern w:val="0"/>
        <w:position w:val="0"/>
        <w:sz w:val="21"/>
        <w:szCs w:val="21"/>
        <w:u w:val="none"/>
        <w:vertAlign w:val="baseline"/>
      </w:rPr>
    </w:lvl>
    <w:lvl w:ilvl="1">
      <w:start w:val="1"/>
      <w:numFmt w:val="decimal"/>
      <w:lvlText w:val="%1.%2"/>
      <w:lvlJc w:val="left"/>
      <w:pPr>
        <w:tabs>
          <w:tab w:val="num" w:pos="576"/>
        </w:tabs>
        <w:ind w:left="454" w:hanging="454"/>
      </w:pPr>
      <w:rPr>
        <w:rFonts w:ascii="Frutiger CE 45 Light" w:hAnsi="Frutiger CE 45 Light" w:cs="Times New Roman" w:hint="default"/>
        <w:b/>
        <w:i w:val="0"/>
        <w:sz w:val="19"/>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744250CF"/>
    <w:multiLevelType w:val="hybridMultilevel"/>
    <w:tmpl w:val="9F8E8B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0E136F"/>
    <w:multiLevelType w:val="multilevel"/>
    <w:tmpl w:val="B4E40CF8"/>
    <w:lvl w:ilvl="0">
      <w:start w:val="1"/>
      <w:numFmt w:val="decimal"/>
      <w:lvlText w:val="%1."/>
      <w:lvlJc w:val="left"/>
      <w:pPr>
        <w:tabs>
          <w:tab w:val="num" w:pos="227"/>
        </w:tabs>
        <w:ind w:left="170" w:hanging="170"/>
      </w:pPr>
      <w:rPr>
        <w:rFonts w:hint="default"/>
        <w:b/>
        <w:bCs w:val="0"/>
        <w:i w:val="0"/>
        <w:iCs w:val="0"/>
        <w:caps w:val="0"/>
        <w:smallCaps w:val="0"/>
        <w:strike w:val="0"/>
        <w:dstrike w:val="0"/>
        <w:outline w:val="0"/>
        <w:shadow w:val="0"/>
        <w:emboss w:val="0"/>
        <w:imprint w:val="0"/>
        <w:snapToGrid w:val="0"/>
        <w:vanish w:val="0"/>
        <w:color w:val="auto"/>
        <w:spacing w:val="0"/>
        <w:w w:val="0"/>
        <w:kern w:val="0"/>
        <w:position w:val="0"/>
        <w:sz w:val="21"/>
        <w:szCs w:val="21"/>
        <w:u w:val="none"/>
        <w:vertAlign w:val="baseline"/>
      </w:rPr>
    </w:lvl>
    <w:lvl w:ilvl="1">
      <w:start w:val="1"/>
      <w:numFmt w:val="decimal"/>
      <w:lvlText w:val="%1.%2"/>
      <w:lvlJc w:val="left"/>
      <w:pPr>
        <w:tabs>
          <w:tab w:val="num" w:pos="1440"/>
        </w:tabs>
        <w:ind w:left="1440" w:hanging="720"/>
      </w:pPr>
      <w:rPr>
        <w:rFonts w:hint="default"/>
        <w:b/>
        <w:i w:val="0"/>
        <w:sz w:val="19"/>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8" w15:restartNumberingAfterBreak="0">
    <w:nsid w:val="7C06446A"/>
    <w:multiLevelType w:val="hybridMultilevel"/>
    <w:tmpl w:val="BFBC2AFC"/>
    <w:lvl w:ilvl="0" w:tplc="6F1AA7B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4"/>
  </w:num>
  <w:num w:numId="15">
    <w:abstractNumId w:val="13"/>
  </w:num>
  <w:num w:numId="16">
    <w:abstractNumId w:val="19"/>
  </w:num>
  <w:num w:numId="17">
    <w:abstractNumId w:val="16"/>
  </w:num>
  <w:num w:numId="18">
    <w:abstractNumId w:val="25"/>
  </w:num>
  <w:num w:numId="19">
    <w:abstractNumId w:val="17"/>
  </w:num>
  <w:num w:numId="20">
    <w:abstractNumId w:val="21"/>
  </w:num>
  <w:num w:numId="21">
    <w:abstractNumId w:val="27"/>
  </w:num>
  <w:num w:numId="22">
    <w:abstractNumId w:val="10"/>
  </w:num>
  <w:num w:numId="23">
    <w:abstractNumId w:val="14"/>
  </w:num>
  <w:num w:numId="24">
    <w:abstractNumId w:val="12"/>
  </w:num>
  <w:num w:numId="25">
    <w:abstractNumId w:val="11"/>
  </w:num>
  <w:num w:numId="26">
    <w:abstractNumId w:val="28"/>
  </w:num>
  <w:num w:numId="27">
    <w:abstractNumId w:val="26"/>
  </w:num>
  <w:num w:numId="28">
    <w:abstractNumId w:val="2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7415705-AC15-41C9-9EA9-F2A6D3FB6292}"/>
    <w:docVar w:name="dgnword-eventsink" w:val="163652544"/>
  </w:docVars>
  <w:rsids>
    <w:rsidRoot w:val="00DE2DD4"/>
    <w:rsid w:val="0000075C"/>
    <w:rsid w:val="000010A8"/>
    <w:rsid w:val="0000264D"/>
    <w:rsid w:val="00002E20"/>
    <w:rsid w:val="00003598"/>
    <w:rsid w:val="000044A1"/>
    <w:rsid w:val="00004D8E"/>
    <w:rsid w:val="0000531C"/>
    <w:rsid w:val="00005983"/>
    <w:rsid w:val="00005A59"/>
    <w:rsid w:val="00005BDE"/>
    <w:rsid w:val="0000623D"/>
    <w:rsid w:val="0000738E"/>
    <w:rsid w:val="00010BDA"/>
    <w:rsid w:val="0001113F"/>
    <w:rsid w:val="00011771"/>
    <w:rsid w:val="00015356"/>
    <w:rsid w:val="0001651A"/>
    <w:rsid w:val="000173BD"/>
    <w:rsid w:val="0001788B"/>
    <w:rsid w:val="000241E5"/>
    <w:rsid w:val="00025E95"/>
    <w:rsid w:val="0002690D"/>
    <w:rsid w:val="00030365"/>
    <w:rsid w:val="000374A4"/>
    <w:rsid w:val="00037F16"/>
    <w:rsid w:val="000406EF"/>
    <w:rsid w:val="0004285E"/>
    <w:rsid w:val="000434D2"/>
    <w:rsid w:val="0004382C"/>
    <w:rsid w:val="00043F28"/>
    <w:rsid w:val="00044CA7"/>
    <w:rsid w:val="00047B0E"/>
    <w:rsid w:val="00050727"/>
    <w:rsid w:val="0005316A"/>
    <w:rsid w:val="00060179"/>
    <w:rsid w:val="00060980"/>
    <w:rsid w:val="000625E7"/>
    <w:rsid w:val="00063B7C"/>
    <w:rsid w:val="00063FB3"/>
    <w:rsid w:val="00065D91"/>
    <w:rsid w:val="00067B2D"/>
    <w:rsid w:val="00067CD1"/>
    <w:rsid w:val="000725BB"/>
    <w:rsid w:val="00073AEC"/>
    <w:rsid w:val="00073D7D"/>
    <w:rsid w:val="0007541B"/>
    <w:rsid w:val="00077865"/>
    <w:rsid w:val="00080963"/>
    <w:rsid w:val="0008186B"/>
    <w:rsid w:val="0008605F"/>
    <w:rsid w:val="0009079F"/>
    <w:rsid w:val="00095829"/>
    <w:rsid w:val="0009771D"/>
    <w:rsid w:val="000A1005"/>
    <w:rsid w:val="000A2745"/>
    <w:rsid w:val="000A445D"/>
    <w:rsid w:val="000A5472"/>
    <w:rsid w:val="000A5598"/>
    <w:rsid w:val="000A5768"/>
    <w:rsid w:val="000B0396"/>
    <w:rsid w:val="000B18D9"/>
    <w:rsid w:val="000B2956"/>
    <w:rsid w:val="000B3A92"/>
    <w:rsid w:val="000B49C9"/>
    <w:rsid w:val="000B7301"/>
    <w:rsid w:val="000B7E7D"/>
    <w:rsid w:val="000C37E7"/>
    <w:rsid w:val="000C3CE5"/>
    <w:rsid w:val="000C50DA"/>
    <w:rsid w:val="000D118B"/>
    <w:rsid w:val="000D25F9"/>
    <w:rsid w:val="000D3946"/>
    <w:rsid w:val="000D3F88"/>
    <w:rsid w:val="000D7034"/>
    <w:rsid w:val="000E211C"/>
    <w:rsid w:val="000E2F27"/>
    <w:rsid w:val="000E4765"/>
    <w:rsid w:val="000E5435"/>
    <w:rsid w:val="000F672D"/>
    <w:rsid w:val="000F70BD"/>
    <w:rsid w:val="001011F9"/>
    <w:rsid w:val="00102B67"/>
    <w:rsid w:val="00104144"/>
    <w:rsid w:val="001056F4"/>
    <w:rsid w:val="00105824"/>
    <w:rsid w:val="001072EC"/>
    <w:rsid w:val="00110BCA"/>
    <w:rsid w:val="00110CD1"/>
    <w:rsid w:val="00110F57"/>
    <w:rsid w:val="001112E0"/>
    <w:rsid w:val="001113DA"/>
    <w:rsid w:val="001131FE"/>
    <w:rsid w:val="001157EB"/>
    <w:rsid w:val="001158FC"/>
    <w:rsid w:val="00120BF6"/>
    <w:rsid w:val="0012110B"/>
    <w:rsid w:val="001211C9"/>
    <w:rsid w:val="00126ED7"/>
    <w:rsid w:val="00127934"/>
    <w:rsid w:val="00132375"/>
    <w:rsid w:val="00132599"/>
    <w:rsid w:val="0013682D"/>
    <w:rsid w:val="00136AC0"/>
    <w:rsid w:val="00137994"/>
    <w:rsid w:val="001402D3"/>
    <w:rsid w:val="0014308A"/>
    <w:rsid w:val="00143885"/>
    <w:rsid w:val="00145366"/>
    <w:rsid w:val="00150D6B"/>
    <w:rsid w:val="001541F8"/>
    <w:rsid w:val="00156BCE"/>
    <w:rsid w:val="001602A9"/>
    <w:rsid w:val="00160E14"/>
    <w:rsid w:val="00167156"/>
    <w:rsid w:val="0016733B"/>
    <w:rsid w:val="00174030"/>
    <w:rsid w:val="001767B0"/>
    <w:rsid w:val="00182607"/>
    <w:rsid w:val="00184A82"/>
    <w:rsid w:val="001862C1"/>
    <w:rsid w:val="001872E3"/>
    <w:rsid w:val="00187D50"/>
    <w:rsid w:val="0019091A"/>
    <w:rsid w:val="00193DE9"/>
    <w:rsid w:val="001946D6"/>
    <w:rsid w:val="001947E0"/>
    <w:rsid w:val="0019578B"/>
    <w:rsid w:val="00195A89"/>
    <w:rsid w:val="00195D3A"/>
    <w:rsid w:val="0019693B"/>
    <w:rsid w:val="00196C3D"/>
    <w:rsid w:val="00196EDB"/>
    <w:rsid w:val="001A12A3"/>
    <w:rsid w:val="001A1FCC"/>
    <w:rsid w:val="001A20F5"/>
    <w:rsid w:val="001A5870"/>
    <w:rsid w:val="001B042B"/>
    <w:rsid w:val="001B04A6"/>
    <w:rsid w:val="001B1531"/>
    <w:rsid w:val="001B3B3C"/>
    <w:rsid w:val="001B3D36"/>
    <w:rsid w:val="001B48F6"/>
    <w:rsid w:val="001B74FE"/>
    <w:rsid w:val="001B797C"/>
    <w:rsid w:val="001C11AD"/>
    <w:rsid w:val="001C1522"/>
    <w:rsid w:val="001C484D"/>
    <w:rsid w:val="001C4DD7"/>
    <w:rsid w:val="001C7083"/>
    <w:rsid w:val="001C735C"/>
    <w:rsid w:val="001D132A"/>
    <w:rsid w:val="001D26C7"/>
    <w:rsid w:val="001D3013"/>
    <w:rsid w:val="001D45DF"/>
    <w:rsid w:val="001D6C25"/>
    <w:rsid w:val="001D7469"/>
    <w:rsid w:val="001E10A3"/>
    <w:rsid w:val="001E2327"/>
    <w:rsid w:val="001E2513"/>
    <w:rsid w:val="001E2652"/>
    <w:rsid w:val="001E51F3"/>
    <w:rsid w:val="001E7DB0"/>
    <w:rsid w:val="001F092B"/>
    <w:rsid w:val="001F0C15"/>
    <w:rsid w:val="001F1779"/>
    <w:rsid w:val="001F2E95"/>
    <w:rsid w:val="001F2F0E"/>
    <w:rsid w:val="001F392D"/>
    <w:rsid w:val="001F6088"/>
    <w:rsid w:val="001F66E5"/>
    <w:rsid w:val="0020132C"/>
    <w:rsid w:val="002013C2"/>
    <w:rsid w:val="00202D7C"/>
    <w:rsid w:val="00203920"/>
    <w:rsid w:val="002041B5"/>
    <w:rsid w:val="0020438E"/>
    <w:rsid w:val="00205948"/>
    <w:rsid w:val="00205CF2"/>
    <w:rsid w:val="00206E2B"/>
    <w:rsid w:val="00207571"/>
    <w:rsid w:val="002079B6"/>
    <w:rsid w:val="00210BA1"/>
    <w:rsid w:val="002110FC"/>
    <w:rsid w:val="002130D7"/>
    <w:rsid w:val="002148E6"/>
    <w:rsid w:val="00214F44"/>
    <w:rsid w:val="002166EF"/>
    <w:rsid w:val="00216E90"/>
    <w:rsid w:val="002170E7"/>
    <w:rsid w:val="002200D3"/>
    <w:rsid w:val="0022283C"/>
    <w:rsid w:val="002233CE"/>
    <w:rsid w:val="00223E08"/>
    <w:rsid w:val="00225449"/>
    <w:rsid w:val="002254A1"/>
    <w:rsid w:val="00226803"/>
    <w:rsid w:val="00226C18"/>
    <w:rsid w:val="00230620"/>
    <w:rsid w:val="00233185"/>
    <w:rsid w:val="00233FE6"/>
    <w:rsid w:val="00236250"/>
    <w:rsid w:val="00240103"/>
    <w:rsid w:val="00241162"/>
    <w:rsid w:val="00246F81"/>
    <w:rsid w:val="002471CA"/>
    <w:rsid w:val="002503F1"/>
    <w:rsid w:val="00250C05"/>
    <w:rsid w:val="00252EBC"/>
    <w:rsid w:val="00253D42"/>
    <w:rsid w:val="00260D80"/>
    <w:rsid w:val="00261418"/>
    <w:rsid w:val="00264C1B"/>
    <w:rsid w:val="002650A9"/>
    <w:rsid w:val="00266A16"/>
    <w:rsid w:val="00276074"/>
    <w:rsid w:val="0028264F"/>
    <w:rsid w:val="00282D58"/>
    <w:rsid w:val="002836B3"/>
    <w:rsid w:val="00285556"/>
    <w:rsid w:val="00285636"/>
    <w:rsid w:val="00287392"/>
    <w:rsid w:val="00291838"/>
    <w:rsid w:val="00291E64"/>
    <w:rsid w:val="0029257B"/>
    <w:rsid w:val="002937F0"/>
    <w:rsid w:val="002A0529"/>
    <w:rsid w:val="002A1449"/>
    <w:rsid w:val="002A2762"/>
    <w:rsid w:val="002A2C22"/>
    <w:rsid w:val="002A34B0"/>
    <w:rsid w:val="002A34BC"/>
    <w:rsid w:val="002A46D8"/>
    <w:rsid w:val="002A5AF6"/>
    <w:rsid w:val="002B0795"/>
    <w:rsid w:val="002B1EA8"/>
    <w:rsid w:val="002B3BE7"/>
    <w:rsid w:val="002B4395"/>
    <w:rsid w:val="002B4418"/>
    <w:rsid w:val="002B47E5"/>
    <w:rsid w:val="002B6325"/>
    <w:rsid w:val="002B6581"/>
    <w:rsid w:val="002B722E"/>
    <w:rsid w:val="002C06C7"/>
    <w:rsid w:val="002C10DD"/>
    <w:rsid w:val="002C1A50"/>
    <w:rsid w:val="002C2547"/>
    <w:rsid w:val="002C2812"/>
    <w:rsid w:val="002C4F01"/>
    <w:rsid w:val="002D50D6"/>
    <w:rsid w:val="002D56E2"/>
    <w:rsid w:val="002D7351"/>
    <w:rsid w:val="002E0529"/>
    <w:rsid w:val="002E0B3D"/>
    <w:rsid w:val="002E195A"/>
    <w:rsid w:val="002E3868"/>
    <w:rsid w:val="002E4CC0"/>
    <w:rsid w:val="002E54AE"/>
    <w:rsid w:val="002E5DB1"/>
    <w:rsid w:val="002E773A"/>
    <w:rsid w:val="002F294F"/>
    <w:rsid w:val="002F3E0D"/>
    <w:rsid w:val="002F55B5"/>
    <w:rsid w:val="0030273B"/>
    <w:rsid w:val="00303371"/>
    <w:rsid w:val="00304734"/>
    <w:rsid w:val="0030503C"/>
    <w:rsid w:val="00312EED"/>
    <w:rsid w:val="0031345C"/>
    <w:rsid w:val="003143E7"/>
    <w:rsid w:val="003164D6"/>
    <w:rsid w:val="0032151F"/>
    <w:rsid w:val="003215F8"/>
    <w:rsid w:val="003221EF"/>
    <w:rsid w:val="00325811"/>
    <w:rsid w:val="00331349"/>
    <w:rsid w:val="00331D0B"/>
    <w:rsid w:val="00332E8B"/>
    <w:rsid w:val="00333D6E"/>
    <w:rsid w:val="00334C83"/>
    <w:rsid w:val="003361FD"/>
    <w:rsid w:val="003423F3"/>
    <w:rsid w:val="00342598"/>
    <w:rsid w:val="00342E02"/>
    <w:rsid w:val="0034340D"/>
    <w:rsid w:val="00343CB2"/>
    <w:rsid w:val="003465FC"/>
    <w:rsid w:val="00350076"/>
    <w:rsid w:val="00350469"/>
    <w:rsid w:val="00352330"/>
    <w:rsid w:val="0035234A"/>
    <w:rsid w:val="00354C7A"/>
    <w:rsid w:val="00355456"/>
    <w:rsid w:val="00357594"/>
    <w:rsid w:val="00360910"/>
    <w:rsid w:val="00361CEB"/>
    <w:rsid w:val="00362BAB"/>
    <w:rsid w:val="00362F9B"/>
    <w:rsid w:val="00363D7F"/>
    <w:rsid w:val="00364152"/>
    <w:rsid w:val="00367036"/>
    <w:rsid w:val="00372849"/>
    <w:rsid w:val="00372E81"/>
    <w:rsid w:val="00373128"/>
    <w:rsid w:val="003734C3"/>
    <w:rsid w:val="00377009"/>
    <w:rsid w:val="00380102"/>
    <w:rsid w:val="00384359"/>
    <w:rsid w:val="00384718"/>
    <w:rsid w:val="00386872"/>
    <w:rsid w:val="003903A5"/>
    <w:rsid w:val="00390AB3"/>
    <w:rsid w:val="00390B12"/>
    <w:rsid w:val="00391904"/>
    <w:rsid w:val="00391DD8"/>
    <w:rsid w:val="003921E7"/>
    <w:rsid w:val="003935A4"/>
    <w:rsid w:val="003A0C78"/>
    <w:rsid w:val="003A0D78"/>
    <w:rsid w:val="003A22AD"/>
    <w:rsid w:val="003A6D46"/>
    <w:rsid w:val="003B08C3"/>
    <w:rsid w:val="003B1AAF"/>
    <w:rsid w:val="003B4142"/>
    <w:rsid w:val="003B4C22"/>
    <w:rsid w:val="003B5D59"/>
    <w:rsid w:val="003B6513"/>
    <w:rsid w:val="003B73B4"/>
    <w:rsid w:val="003B765E"/>
    <w:rsid w:val="003B7CAE"/>
    <w:rsid w:val="003B7F5F"/>
    <w:rsid w:val="003C6553"/>
    <w:rsid w:val="003C7FE8"/>
    <w:rsid w:val="003D17A2"/>
    <w:rsid w:val="003D393F"/>
    <w:rsid w:val="003D3DE9"/>
    <w:rsid w:val="003D3F8C"/>
    <w:rsid w:val="003D5583"/>
    <w:rsid w:val="003D57AC"/>
    <w:rsid w:val="003D5F1D"/>
    <w:rsid w:val="003E0411"/>
    <w:rsid w:val="003E0547"/>
    <w:rsid w:val="003E05DE"/>
    <w:rsid w:val="003E11A7"/>
    <w:rsid w:val="003E252D"/>
    <w:rsid w:val="003F002D"/>
    <w:rsid w:val="003F1D24"/>
    <w:rsid w:val="003F3348"/>
    <w:rsid w:val="003F4D4C"/>
    <w:rsid w:val="003F51F1"/>
    <w:rsid w:val="003F73EB"/>
    <w:rsid w:val="003F741E"/>
    <w:rsid w:val="00400298"/>
    <w:rsid w:val="0040168C"/>
    <w:rsid w:val="00402E1D"/>
    <w:rsid w:val="004055A0"/>
    <w:rsid w:val="00405ED8"/>
    <w:rsid w:val="004064B4"/>
    <w:rsid w:val="004064F9"/>
    <w:rsid w:val="00406C96"/>
    <w:rsid w:val="00411A61"/>
    <w:rsid w:val="004137FD"/>
    <w:rsid w:val="00414785"/>
    <w:rsid w:val="00415015"/>
    <w:rsid w:val="00420FC5"/>
    <w:rsid w:val="00421040"/>
    <w:rsid w:val="00421966"/>
    <w:rsid w:val="0042379A"/>
    <w:rsid w:val="004245BB"/>
    <w:rsid w:val="004254A5"/>
    <w:rsid w:val="00432024"/>
    <w:rsid w:val="00433570"/>
    <w:rsid w:val="00434539"/>
    <w:rsid w:val="00436D2E"/>
    <w:rsid w:val="00436E3C"/>
    <w:rsid w:val="00437F71"/>
    <w:rsid w:val="00443DF7"/>
    <w:rsid w:val="004447BA"/>
    <w:rsid w:val="00446B3A"/>
    <w:rsid w:val="00446D16"/>
    <w:rsid w:val="004478DA"/>
    <w:rsid w:val="00455182"/>
    <w:rsid w:val="00455CFD"/>
    <w:rsid w:val="00456168"/>
    <w:rsid w:val="004566B4"/>
    <w:rsid w:val="004574C2"/>
    <w:rsid w:val="00461EF8"/>
    <w:rsid w:val="00463016"/>
    <w:rsid w:val="00463BD4"/>
    <w:rsid w:val="00464B07"/>
    <w:rsid w:val="00466198"/>
    <w:rsid w:val="004664C1"/>
    <w:rsid w:val="00466812"/>
    <w:rsid w:val="00471AE8"/>
    <w:rsid w:val="00471E46"/>
    <w:rsid w:val="00473925"/>
    <w:rsid w:val="00473F5A"/>
    <w:rsid w:val="00474661"/>
    <w:rsid w:val="00474826"/>
    <w:rsid w:val="00475190"/>
    <w:rsid w:val="004771B8"/>
    <w:rsid w:val="00477BF2"/>
    <w:rsid w:val="004802A7"/>
    <w:rsid w:val="00480DF5"/>
    <w:rsid w:val="004842C0"/>
    <w:rsid w:val="00484312"/>
    <w:rsid w:val="00484CB8"/>
    <w:rsid w:val="00484D35"/>
    <w:rsid w:val="0048575A"/>
    <w:rsid w:val="00486C61"/>
    <w:rsid w:val="00492C76"/>
    <w:rsid w:val="00494A4A"/>
    <w:rsid w:val="004961E8"/>
    <w:rsid w:val="004A2C2A"/>
    <w:rsid w:val="004A2D35"/>
    <w:rsid w:val="004A6381"/>
    <w:rsid w:val="004A643A"/>
    <w:rsid w:val="004A6818"/>
    <w:rsid w:val="004A7AA4"/>
    <w:rsid w:val="004B0228"/>
    <w:rsid w:val="004B0FC6"/>
    <w:rsid w:val="004B29F4"/>
    <w:rsid w:val="004B40FB"/>
    <w:rsid w:val="004B4780"/>
    <w:rsid w:val="004B4A3E"/>
    <w:rsid w:val="004C0C48"/>
    <w:rsid w:val="004C1CEE"/>
    <w:rsid w:val="004C25DC"/>
    <w:rsid w:val="004C554B"/>
    <w:rsid w:val="004C7F00"/>
    <w:rsid w:val="004D0253"/>
    <w:rsid w:val="004D0EE0"/>
    <w:rsid w:val="004D1C77"/>
    <w:rsid w:val="004D2814"/>
    <w:rsid w:val="004D3402"/>
    <w:rsid w:val="004D35FD"/>
    <w:rsid w:val="004D5783"/>
    <w:rsid w:val="004D7B06"/>
    <w:rsid w:val="004E203A"/>
    <w:rsid w:val="004E2D18"/>
    <w:rsid w:val="004E3862"/>
    <w:rsid w:val="004E5222"/>
    <w:rsid w:val="004E52C6"/>
    <w:rsid w:val="004E6AB4"/>
    <w:rsid w:val="004E7991"/>
    <w:rsid w:val="004F15AF"/>
    <w:rsid w:val="004F18C7"/>
    <w:rsid w:val="004F3395"/>
    <w:rsid w:val="004F45D3"/>
    <w:rsid w:val="004F57C5"/>
    <w:rsid w:val="004F65B1"/>
    <w:rsid w:val="00501A23"/>
    <w:rsid w:val="0050393D"/>
    <w:rsid w:val="00505806"/>
    <w:rsid w:val="005068F4"/>
    <w:rsid w:val="0051041D"/>
    <w:rsid w:val="005141BC"/>
    <w:rsid w:val="00514337"/>
    <w:rsid w:val="0051461D"/>
    <w:rsid w:val="00515EC5"/>
    <w:rsid w:val="00517C38"/>
    <w:rsid w:val="005231A1"/>
    <w:rsid w:val="005252A1"/>
    <w:rsid w:val="00525DF6"/>
    <w:rsid w:val="00530A23"/>
    <w:rsid w:val="00531119"/>
    <w:rsid w:val="00531E8E"/>
    <w:rsid w:val="00534387"/>
    <w:rsid w:val="0053564E"/>
    <w:rsid w:val="00541807"/>
    <w:rsid w:val="00542627"/>
    <w:rsid w:val="00542B55"/>
    <w:rsid w:val="00543699"/>
    <w:rsid w:val="00543F5B"/>
    <w:rsid w:val="00544E27"/>
    <w:rsid w:val="00546E8A"/>
    <w:rsid w:val="00551094"/>
    <w:rsid w:val="00551F0A"/>
    <w:rsid w:val="00552597"/>
    <w:rsid w:val="00552D7A"/>
    <w:rsid w:val="00555EDF"/>
    <w:rsid w:val="00557A56"/>
    <w:rsid w:val="00560646"/>
    <w:rsid w:val="00560947"/>
    <w:rsid w:val="00561E47"/>
    <w:rsid w:val="00564A39"/>
    <w:rsid w:val="00564F23"/>
    <w:rsid w:val="0056536B"/>
    <w:rsid w:val="00566918"/>
    <w:rsid w:val="00567CEA"/>
    <w:rsid w:val="0057176B"/>
    <w:rsid w:val="00573031"/>
    <w:rsid w:val="00573BC6"/>
    <w:rsid w:val="005741AB"/>
    <w:rsid w:val="00574209"/>
    <w:rsid w:val="00574AFD"/>
    <w:rsid w:val="00581C3A"/>
    <w:rsid w:val="005820E6"/>
    <w:rsid w:val="005826BF"/>
    <w:rsid w:val="00582F5F"/>
    <w:rsid w:val="005856B5"/>
    <w:rsid w:val="00585DD3"/>
    <w:rsid w:val="005863A0"/>
    <w:rsid w:val="00586C09"/>
    <w:rsid w:val="00587EAD"/>
    <w:rsid w:val="00591619"/>
    <w:rsid w:val="00593515"/>
    <w:rsid w:val="00594515"/>
    <w:rsid w:val="0059467B"/>
    <w:rsid w:val="00594DA4"/>
    <w:rsid w:val="00596A76"/>
    <w:rsid w:val="00596B8B"/>
    <w:rsid w:val="005A0923"/>
    <w:rsid w:val="005A1A72"/>
    <w:rsid w:val="005A394F"/>
    <w:rsid w:val="005A506C"/>
    <w:rsid w:val="005A6ADE"/>
    <w:rsid w:val="005B25B2"/>
    <w:rsid w:val="005B3EF4"/>
    <w:rsid w:val="005B4509"/>
    <w:rsid w:val="005B67F9"/>
    <w:rsid w:val="005B77C8"/>
    <w:rsid w:val="005C3919"/>
    <w:rsid w:val="005C3979"/>
    <w:rsid w:val="005C45A9"/>
    <w:rsid w:val="005C6700"/>
    <w:rsid w:val="005C7414"/>
    <w:rsid w:val="005D0F20"/>
    <w:rsid w:val="005D0FE0"/>
    <w:rsid w:val="005D2C54"/>
    <w:rsid w:val="005D3390"/>
    <w:rsid w:val="005D451B"/>
    <w:rsid w:val="005D5EFA"/>
    <w:rsid w:val="005D65DB"/>
    <w:rsid w:val="005D69A5"/>
    <w:rsid w:val="005D76D2"/>
    <w:rsid w:val="005D77D6"/>
    <w:rsid w:val="005E155A"/>
    <w:rsid w:val="005E1E0C"/>
    <w:rsid w:val="005E1FB4"/>
    <w:rsid w:val="005E2972"/>
    <w:rsid w:val="005E4FE1"/>
    <w:rsid w:val="005F0C12"/>
    <w:rsid w:val="005F5040"/>
    <w:rsid w:val="005F7E72"/>
    <w:rsid w:val="006000CC"/>
    <w:rsid w:val="006008F9"/>
    <w:rsid w:val="006010B1"/>
    <w:rsid w:val="00601EC3"/>
    <w:rsid w:val="00607C41"/>
    <w:rsid w:val="006136FF"/>
    <w:rsid w:val="0061413B"/>
    <w:rsid w:val="006178A9"/>
    <w:rsid w:val="00617B2C"/>
    <w:rsid w:val="00617C99"/>
    <w:rsid w:val="00626CBD"/>
    <w:rsid w:val="00626DBC"/>
    <w:rsid w:val="00630392"/>
    <w:rsid w:val="00630EC6"/>
    <w:rsid w:val="00632179"/>
    <w:rsid w:val="00632388"/>
    <w:rsid w:val="00632475"/>
    <w:rsid w:val="00633AA7"/>
    <w:rsid w:val="00634345"/>
    <w:rsid w:val="006359FF"/>
    <w:rsid w:val="00635E5D"/>
    <w:rsid w:val="00637C36"/>
    <w:rsid w:val="006411F5"/>
    <w:rsid w:val="006421EE"/>
    <w:rsid w:val="00644469"/>
    <w:rsid w:val="00644542"/>
    <w:rsid w:val="00650048"/>
    <w:rsid w:val="00650CD6"/>
    <w:rsid w:val="00652C88"/>
    <w:rsid w:val="00653295"/>
    <w:rsid w:val="00653D5B"/>
    <w:rsid w:val="00655D64"/>
    <w:rsid w:val="00656FF1"/>
    <w:rsid w:val="00656FF6"/>
    <w:rsid w:val="00661C6C"/>
    <w:rsid w:val="00661D26"/>
    <w:rsid w:val="00662014"/>
    <w:rsid w:val="00664510"/>
    <w:rsid w:val="00664810"/>
    <w:rsid w:val="00664B7C"/>
    <w:rsid w:val="006655E8"/>
    <w:rsid w:val="00666B92"/>
    <w:rsid w:val="00667706"/>
    <w:rsid w:val="00671F2B"/>
    <w:rsid w:val="00674F55"/>
    <w:rsid w:val="006772EF"/>
    <w:rsid w:val="00681068"/>
    <w:rsid w:val="006815A7"/>
    <w:rsid w:val="006817C0"/>
    <w:rsid w:val="0068442E"/>
    <w:rsid w:val="00684A74"/>
    <w:rsid w:val="00685697"/>
    <w:rsid w:val="00687AB5"/>
    <w:rsid w:val="00691BE7"/>
    <w:rsid w:val="00695A7F"/>
    <w:rsid w:val="006961D5"/>
    <w:rsid w:val="006978F9"/>
    <w:rsid w:val="006A1FBD"/>
    <w:rsid w:val="006A2576"/>
    <w:rsid w:val="006A47DC"/>
    <w:rsid w:val="006A61C8"/>
    <w:rsid w:val="006A68DA"/>
    <w:rsid w:val="006A6BB2"/>
    <w:rsid w:val="006B1EA5"/>
    <w:rsid w:val="006B295C"/>
    <w:rsid w:val="006B2B49"/>
    <w:rsid w:val="006B3949"/>
    <w:rsid w:val="006B3D9D"/>
    <w:rsid w:val="006B50CA"/>
    <w:rsid w:val="006B5479"/>
    <w:rsid w:val="006B5635"/>
    <w:rsid w:val="006B5A4A"/>
    <w:rsid w:val="006B77EA"/>
    <w:rsid w:val="006C033F"/>
    <w:rsid w:val="006C0AFD"/>
    <w:rsid w:val="006C337A"/>
    <w:rsid w:val="006C4255"/>
    <w:rsid w:val="006C4C4A"/>
    <w:rsid w:val="006C79E9"/>
    <w:rsid w:val="006C7D2F"/>
    <w:rsid w:val="006D005A"/>
    <w:rsid w:val="006D0D94"/>
    <w:rsid w:val="006D2641"/>
    <w:rsid w:val="006D288F"/>
    <w:rsid w:val="006D5248"/>
    <w:rsid w:val="006E127B"/>
    <w:rsid w:val="006E201C"/>
    <w:rsid w:val="006E238B"/>
    <w:rsid w:val="006E3B45"/>
    <w:rsid w:val="006E4AE5"/>
    <w:rsid w:val="006E5B57"/>
    <w:rsid w:val="006E7C3A"/>
    <w:rsid w:val="006F06BB"/>
    <w:rsid w:val="006F231E"/>
    <w:rsid w:val="006F247F"/>
    <w:rsid w:val="006F2A39"/>
    <w:rsid w:val="006F2A47"/>
    <w:rsid w:val="006F5941"/>
    <w:rsid w:val="006F6347"/>
    <w:rsid w:val="006F6D1A"/>
    <w:rsid w:val="006F7605"/>
    <w:rsid w:val="006F768B"/>
    <w:rsid w:val="00700A23"/>
    <w:rsid w:val="00701AFA"/>
    <w:rsid w:val="00702836"/>
    <w:rsid w:val="00705167"/>
    <w:rsid w:val="007056CD"/>
    <w:rsid w:val="007057DA"/>
    <w:rsid w:val="007063F3"/>
    <w:rsid w:val="00707292"/>
    <w:rsid w:val="007145D9"/>
    <w:rsid w:val="0071596D"/>
    <w:rsid w:val="007165A3"/>
    <w:rsid w:val="007168B5"/>
    <w:rsid w:val="00717C7F"/>
    <w:rsid w:val="0072190A"/>
    <w:rsid w:val="007219BC"/>
    <w:rsid w:val="00721D47"/>
    <w:rsid w:val="00721F7A"/>
    <w:rsid w:val="007265B2"/>
    <w:rsid w:val="007266A9"/>
    <w:rsid w:val="00727002"/>
    <w:rsid w:val="0072774E"/>
    <w:rsid w:val="00727E88"/>
    <w:rsid w:val="00727F8F"/>
    <w:rsid w:val="0073231A"/>
    <w:rsid w:val="00732FED"/>
    <w:rsid w:val="0073338D"/>
    <w:rsid w:val="00733406"/>
    <w:rsid w:val="00735227"/>
    <w:rsid w:val="007375FF"/>
    <w:rsid w:val="00737940"/>
    <w:rsid w:val="00740644"/>
    <w:rsid w:val="0074367D"/>
    <w:rsid w:val="00743C8B"/>
    <w:rsid w:val="00750D08"/>
    <w:rsid w:val="00754DBE"/>
    <w:rsid w:val="00757169"/>
    <w:rsid w:val="007579E2"/>
    <w:rsid w:val="00760411"/>
    <w:rsid w:val="00761FE3"/>
    <w:rsid w:val="00762B87"/>
    <w:rsid w:val="007644BA"/>
    <w:rsid w:val="00765389"/>
    <w:rsid w:val="0076675F"/>
    <w:rsid w:val="00770F94"/>
    <w:rsid w:val="00773E80"/>
    <w:rsid w:val="00776EB8"/>
    <w:rsid w:val="00777063"/>
    <w:rsid w:val="00780B11"/>
    <w:rsid w:val="0078264F"/>
    <w:rsid w:val="007837FD"/>
    <w:rsid w:val="00785F96"/>
    <w:rsid w:val="00790C79"/>
    <w:rsid w:val="00793135"/>
    <w:rsid w:val="007953F8"/>
    <w:rsid w:val="007963C6"/>
    <w:rsid w:val="00796420"/>
    <w:rsid w:val="007979C4"/>
    <w:rsid w:val="007A03ED"/>
    <w:rsid w:val="007A1E9E"/>
    <w:rsid w:val="007A2B09"/>
    <w:rsid w:val="007A4015"/>
    <w:rsid w:val="007A4D16"/>
    <w:rsid w:val="007A5BA7"/>
    <w:rsid w:val="007A5C08"/>
    <w:rsid w:val="007A622D"/>
    <w:rsid w:val="007A7DAD"/>
    <w:rsid w:val="007B0830"/>
    <w:rsid w:val="007B38C1"/>
    <w:rsid w:val="007B5946"/>
    <w:rsid w:val="007B6332"/>
    <w:rsid w:val="007B7A19"/>
    <w:rsid w:val="007C12BA"/>
    <w:rsid w:val="007C483E"/>
    <w:rsid w:val="007C60FB"/>
    <w:rsid w:val="007C6B0B"/>
    <w:rsid w:val="007D38B0"/>
    <w:rsid w:val="007D55FC"/>
    <w:rsid w:val="007D65F7"/>
    <w:rsid w:val="007D7913"/>
    <w:rsid w:val="007E3AC3"/>
    <w:rsid w:val="007E4862"/>
    <w:rsid w:val="007E53DE"/>
    <w:rsid w:val="007E687C"/>
    <w:rsid w:val="007F288A"/>
    <w:rsid w:val="007F48EB"/>
    <w:rsid w:val="007F72E7"/>
    <w:rsid w:val="007F73F5"/>
    <w:rsid w:val="00810152"/>
    <w:rsid w:val="00810175"/>
    <w:rsid w:val="008103E6"/>
    <w:rsid w:val="008112DE"/>
    <w:rsid w:val="0081242A"/>
    <w:rsid w:val="00812F2F"/>
    <w:rsid w:val="0081342F"/>
    <w:rsid w:val="00814B73"/>
    <w:rsid w:val="0081568F"/>
    <w:rsid w:val="0081651D"/>
    <w:rsid w:val="00816D73"/>
    <w:rsid w:val="00817625"/>
    <w:rsid w:val="00817BB7"/>
    <w:rsid w:val="00827382"/>
    <w:rsid w:val="008302E0"/>
    <w:rsid w:val="0083085F"/>
    <w:rsid w:val="00832E21"/>
    <w:rsid w:val="0083300E"/>
    <w:rsid w:val="008345AF"/>
    <w:rsid w:val="00834D9D"/>
    <w:rsid w:val="008371D6"/>
    <w:rsid w:val="00841951"/>
    <w:rsid w:val="00842296"/>
    <w:rsid w:val="0084407D"/>
    <w:rsid w:val="00845144"/>
    <w:rsid w:val="008502BC"/>
    <w:rsid w:val="00851BC7"/>
    <w:rsid w:val="00851E64"/>
    <w:rsid w:val="00853FFD"/>
    <w:rsid w:val="008542F2"/>
    <w:rsid w:val="00855119"/>
    <w:rsid w:val="00856D29"/>
    <w:rsid w:val="00861604"/>
    <w:rsid w:val="00862916"/>
    <w:rsid w:val="00862BA8"/>
    <w:rsid w:val="00863D27"/>
    <w:rsid w:val="00865AD4"/>
    <w:rsid w:val="00866AF2"/>
    <w:rsid w:val="008707C5"/>
    <w:rsid w:val="008726D9"/>
    <w:rsid w:val="00873159"/>
    <w:rsid w:val="008737AC"/>
    <w:rsid w:val="008748BA"/>
    <w:rsid w:val="008764B8"/>
    <w:rsid w:val="00876584"/>
    <w:rsid w:val="008770FF"/>
    <w:rsid w:val="008779D6"/>
    <w:rsid w:val="00877F69"/>
    <w:rsid w:val="0088048D"/>
    <w:rsid w:val="00880A31"/>
    <w:rsid w:val="00880C35"/>
    <w:rsid w:val="00884A13"/>
    <w:rsid w:val="00885122"/>
    <w:rsid w:val="00885D42"/>
    <w:rsid w:val="00886082"/>
    <w:rsid w:val="00886278"/>
    <w:rsid w:val="00887775"/>
    <w:rsid w:val="0089147D"/>
    <w:rsid w:val="00892E9D"/>
    <w:rsid w:val="00893A85"/>
    <w:rsid w:val="008940A7"/>
    <w:rsid w:val="00894964"/>
    <w:rsid w:val="00894D5F"/>
    <w:rsid w:val="008A182F"/>
    <w:rsid w:val="008A2D72"/>
    <w:rsid w:val="008A3F49"/>
    <w:rsid w:val="008A627B"/>
    <w:rsid w:val="008B0A4E"/>
    <w:rsid w:val="008B1E24"/>
    <w:rsid w:val="008B3450"/>
    <w:rsid w:val="008B3FE0"/>
    <w:rsid w:val="008C21D2"/>
    <w:rsid w:val="008C523B"/>
    <w:rsid w:val="008D296D"/>
    <w:rsid w:val="008D2FCA"/>
    <w:rsid w:val="008D330B"/>
    <w:rsid w:val="008D45EC"/>
    <w:rsid w:val="008D735F"/>
    <w:rsid w:val="008D7859"/>
    <w:rsid w:val="008E2833"/>
    <w:rsid w:val="008E349D"/>
    <w:rsid w:val="008E3FB0"/>
    <w:rsid w:val="008F0112"/>
    <w:rsid w:val="008F626D"/>
    <w:rsid w:val="008F7955"/>
    <w:rsid w:val="00905B3A"/>
    <w:rsid w:val="00906916"/>
    <w:rsid w:val="0090739C"/>
    <w:rsid w:val="0090780F"/>
    <w:rsid w:val="0091117F"/>
    <w:rsid w:val="009117BE"/>
    <w:rsid w:val="00911CAF"/>
    <w:rsid w:val="00912CF5"/>
    <w:rsid w:val="00912D86"/>
    <w:rsid w:val="00915970"/>
    <w:rsid w:val="0091647F"/>
    <w:rsid w:val="00916A76"/>
    <w:rsid w:val="00917C3F"/>
    <w:rsid w:val="00920317"/>
    <w:rsid w:val="009212B9"/>
    <w:rsid w:val="00923608"/>
    <w:rsid w:val="00923BE0"/>
    <w:rsid w:val="00924E7B"/>
    <w:rsid w:val="00925506"/>
    <w:rsid w:val="00925B3B"/>
    <w:rsid w:val="00925D8D"/>
    <w:rsid w:val="00925FBF"/>
    <w:rsid w:val="0092728B"/>
    <w:rsid w:val="00930735"/>
    <w:rsid w:val="0093098A"/>
    <w:rsid w:val="00933B01"/>
    <w:rsid w:val="00936576"/>
    <w:rsid w:val="00936626"/>
    <w:rsid w:val="009419CA"/>
    <w:rsid w:val="009436EB"/>
    <w:rsid w:val="00943B08"/>
    <w:rsid w:val="0094425B"/>
    <w:rsid w:val="009477E9"/>
    <w:rsid w:val="00953CA0"/>
    <w:rsid w:val="0095543C"/>
    <w:rsid w:val="00955E7E"/>
    <w:rsid w:val="009563A0"/>
    <w:rsid w:val="0095745F"/>
    <w:rsid w:val="00961090"/>
    <w:rsid w:val="009652C7"/>
    <w:rsid w:val="009676DF"/>
    <w:rsid w:val="00967715"/>
    <w:rsid w:val="0097037A"/>
    <w:rsid w:val="0097184B"/>
    <w:rsid w:val="00973FC9"/>
    <w:rsid w:val="0097566A"/>
    <w:rsid w:val="00975C2A"/>
    <w:rsid w:val="00976A7B"/>
    <w:rsid w:val="00980EF3"/>
    <w:rsid w:val="00982BC3"/>
    <w:rsid w:val="009833DB"/>
    <w:rsid w:val="00983E3A"/>
    <w:rsid w:val="009865F5"/>
    <w:rsid w:val="00987BA0"/>
    <w:rsid w:val="009901F7"/>
    <w:rsid w:val="00995EB9"/>
    <w:rsid w:val="0099781B"/>
    <w:rsid w:val="009A650E"/>
    <w:rsid w:val="009A6DFE"/>
    <w:rsid w:val="009A6E75"/>
    <w:rsid w:val="009A779A"/>
    <w:rsid w:val="009A7CBC"/>
    <w:rsid w:val="009B0E5F"/>
    <w:rsid w:val="009B2113"/>
    <w:rsid w:val="009B2D45"/>
    <w:rsid w:val="009B3E84"/>
    <w:rsid w:val="009B44F9"/>
    <w:rsid w:val="009B5546"/>
    <w:rsid w:val="009B575F"/>
    <w:rsid w:val="009C093E"/>
    <w:rsid w:val="009C183D"/>
    <w:rsid w:val="009C1A7F"/>
    <w:rsid w:val="009C2754"/>
    <w:rsid w:val="009C3AA8"/>
    <w:rsid w:val="009C3F18"/>
    <w:rsid w:val="009D3287"/>
    <w:rsid w:val="009D5544"/>
    <w:rsid w:val="009D55D1"/>
    <w:rsid w:val="009D6A95"/>
    <w:rsid w:val="009D702A"/>
    <w:rsid w:val="009E0359"/>
    <w:rsid w:val="009E0A59"/>
    <w:rsid w:val="009E1C7C"/>
    <w:rsid w:val="009E1D37"/>
    <w:rsid w:val="009E214A"/>
    <w:rsid w:val="009E22A1"/>
    <w:rsid w:val="009E28E0"/>
    <w:rsid w:val="009E4BB8"/>
    <w:rsid w:val="009E68BC"/>
    <w:rsid w:val="009F1527"/>
    <w:rsid w:val="009F2E09"/>
    <w:rsid w:val="009F6C80"/>
    <w:rsid w:val="009F7EA9"/>
    <w:rsid w:val="00A012BF"/>
    <w:rsid w:val="00A03C7D"/>
    <w:rsid w:val="00A04BE1"/>
    <w:rsid w:val="00A05927"/>
    <w:rsid w:val="00A05C4C"/>
    <w:rsid w:val="00A05E24"/>
    <w:rsid w:val="00A07592"/>
    <w:rsid w:val="00A075D6"/>
    <w:rsid w:val="00A11667"/>
    <w:rsid w:val="00A12E85"/>
    <w:rsid w:val="00A13207"/>
    <w:rsid w:val="00A138E1"/>
    <w:rsid w:val="00A1694D"/>
    <w:rsid w:val="00A16BF8"/>
    <w:rsid w:val="00A16D20"/>
    <w:rsid w:val="00A20E98"/>
    <w:rsid w:val="00A22FCC"/>
    <w:rsid w:val="00A239C4"/>
    <w:rsid w:val="00A2455E"/>
    <w:rsid w:val="00A24918"/>
    <w:rsid w:val="00A24D03"/>
    <w:rsid w:val="00A25175"/>
    <w:rsid w:val="00A270DB"/>
    <w:rsid w:val="00A279AF"/>
    <w:rsid w:val="00A33412"/>
    <w:rsid w:val="00A33F0A"/>
    <w:rsid w:val="00A35104"/>
    <w:rsid w:val="00A355E0"/>
    <w:rsid w:val="00A3702A"/>
    <w:rsid w:val="00A37B8A"/>
    <w:rsid w:val="00A42B68"/>
    <w:rsid w:val="00A4388C"/>
    <w:rsid w:val="00A43C70"/>
    <w:rsid w:val="00A44C3F"/>
    <w:rsid w:val="00A45A20"/>
    <w:rsid w:val="00A52EEB"/>
    <w:rsid w:val="00A55F35"/>
    <w:rsid w:val="00A56427"/>
    <w:rsid w:val="00A6049E"/>
    <w:rsid w:val="00A60685"/>
    <w:rsid w:val="00A6093F"/>
    <w:rsid w:val="00A60B1C"/>
    <w:rsid w:val="00A60BD2"/>
    <w:rsid w:val="00A65B1D"/>
    <w:rsid w:val="00A72564"/>
    <w:rsid w:val="00A730B0"/>
    <w:rsid w:val="00A76CDD"/>
    <w:rsid w:val="00A80D4F"/>
    <w:rsid w:val="00A810B3"/>
    <w:rsid w:val="00A826A1"/>
    <w:rsid w:val="00A82738"/>
    <w:rsid w:val="00A82ECB"/>
    <w:rsid w:val="00A83C74"/>
    <w:rsid w:val="00A83F44"/>
    <w:rsid w:val="00A8538F"/>
    <w:rsid w:val="00A865E4"/>
    <w:rsid w:val="00A94BC3"/>
    <w:rsid w:val="00A953AD"/>
    <w:rsid w:val="00A961D0"/>
    <w:rsid w:val="00A974F7"/>
    <w:rsid w:val="00AA06F1"/>
    <w:rsid w:val="00AA19E1"/>
    <w:rsid w:val="00AA228B"/>
    <w:rsid w:val="00AA28ED"/>
    <w:rsid w:val="00AA3B02"/>
    <w:rsid w:val="00AA49DD"/>
    <w:rsid w:val="00AA7C7A"/>
    <w:rsid w:val="00AB1573"/>
    <w:rsid w:val="00AB47A8"/>
    <w:rsid w:val="00AB5590"/>
    <w:rsid w:val="00AC014B"/>
    <w:rsid w:val="00AC2B93"/>
    <w:rsid w:val="00AC2C51"/>
    <w:rsid w:val="00AC3AE7"/>
    <w:rsid w:val="00AC4FF4"/>
    <w:rsid w:val="00AC5195"/>
    <w:rsid w:val="00AC65F4"/>
    <w:rsid w:val="00AC7717"/>
    <w:rsid w:val="00AD0A5F"/>
    <w:rsid w:val="00AD1F76"/>
    <w:rsid w:val="00AD29DD"/>
    <w:rsid w:val="00AD39B3"/>
    <w:rsid w:val="00AE27E5"/>
    <w:rsid w:val="00AE2F6A"/>
    <w:rsid w:val="00AE3AD3"/>
    <w:rsid w:val="00AE4B7B"/>
    <w:rsid w:val="00AE56DD"/>
    <w:rsid w:val="00AE69D0"/>
    <w:rsid w:val="00AE7FBC"/>
    <w:rsid w:val="00AF0B5D"/>
    <w:rsid w:val="00AF3A1A"/>
    <w:rsid w:val="00AF42E9"/>
    <w:rsid w:val="00AF5CEF"/>
    <w:rsid w:val="00AF636B"/>
    <w:rsid w:val="00AF66D9"/>
    <w:rsid w:val="00AF6CE5"/>
    <w:rsid w:val="00AF7B8B"/>
    <w:rsid w:val="00B003D0"/>
    <w:rsid w:val="00B00BB6"/>
    <w:rsid w:val="00B03198"/>
    <w:rsid w:val="00B0326F"/>
    <w:rsid w:val="00B033DF"/>
    <w:rsid w:val="00B05A59"/>
    <w:rsid w:val="00B06125"/>
    <w:rsid w:val="00B102EE"/>
    <w:rsid w:val="00B10848"/>
    <w:rsid w:val="00B11C5B"/>
    <w:rsid w:val="00B12ABC"/>
    <w:rsid w:val="00B13678"/>
    <w:rsid w:val="00B159D6"/>
    <w:rsid w:val="00B15C86"/>
    <w:rsid w:val="00B20C37"/>
    <w:rsid w:val="00B2276A"/>
    <w:rsid w:val="00B24099"/>
    <w:rsid w:val="00B24988"/>
    <w:rsid w:val="00B24B05"/>
    <w:rsid w:val="00B30BCE"/>
    <w:rsid w:val="00B34789"/>
    <w:rsid w:val="00B37DC2"/>
    <w:rsid w:val="00B425AA"/>
    <w:rsid w:val="00B42B33"/>
    <w:rsid w:val="00B42F20"/>
    <w:rsid w:val="00B43E2D"/>
    <w:rsid w:val="00B47314"/>
    <w:rsid w:val="00B4786E"/>
    <w:rsid w:val="00B50D59"/>
    <w:rsid w:val="00B513D0"/>
    <w:rsid w:val="00B54E56"/>
    <w:rsid w:val="00B557E0"/>
    <w:rsid w:val="00B561CA"/>
    <w:rsid w:val="00B5711F"/>
    <w:rsid w:val="00B57F8B"/>
    <w:rsid w:val="00B601AD"/>
    <w:rsid w:val="00B60288"/>
    <w:rsid w:val="00B61B61"/>
    <w:rsid w:val="00B6252E"/>
    <w:rsid w:val="00B651B8"/>
    <w:rsid w:val="00B65BB0"/>
    <w:rsid w:val="00B65EAC"/>
    <w:rsid w:val="00B7023A"/>
    <w:rsid w:val="00B74EC0"/>
    <w:rsid w:val="00B756B6"/>
    <w:rsid w:val="00B76916"/>
    <w:rsid w:val="00B76E0F"/>
    <w:rsid w:val="00B76E5D"/>
    <w:rsid w:val="00B7769C"/>
    <w:rsid w:val="00B77F21"/>
    <w:rsid w:val="00B86CDA"/>
    <w:rsid w:val="00B8733C"/>
    <w:rsid w:val="00B90D97"/>
    <w:rsid w:val="00B91DCE"/>
    <w:rsid w:val="00B92B4B"/>
    <w:rsid w:val="00B931EC"/>
    <w:rsid w:val="00B945B4"/>
    <w:rsid w:val="00B94684"/>
    <w:rsid w:val="00B966F3"/>
    <w:rsid w:val="00B96905"/>
    <w:rsid w:val="00B9713A"/>
    <w:rsid w:val="00B97165"/>
    <w:rsid w:val="00BA11D2"/>
    <w:rsid w:val="00BA3DB1"/>
    <w:rsid w:val="00BA4AEA"/>
    <w:rsid w:val="00BB281A"/>
    <w:rsid w:val="00BB2A2E"/>
    <w:rsid w:val="00BB3657"/>
    <w:rsid w:val="00BB4762"/>
    <w:rsid w:val="00BB4766"/>
    <w:rsid w:val="00BB65F4"/>
    <w:rsid w:val="00BC190A"/>
    <w:rsid w:val="00BC44C9"/>
    <w:rsid w:val="00BC474D"/>
    <w:rsid w:val="00BC4D4C"/>
    <w:rsid w:val="00BC5662"/>
    <w:rsid w:val="00BD1583"/>
    <w:rsid w:val="00BD1B52"/>
    <w:rsid w:val="00BD3F7D"/>
    <w:rsid w:val="00BD4366"/>
    <w:rsid w:val="00BD5964"/>
    <w:rsid w:val="00BD6D9A"/>
    <w:rsid w:val="00BE0D6A"/>
    <w:rsid w:val="00BE148E"/>
    <w:rsid w:val="00BE1E83"/>
    <w:rsid w:val="00BE5896"/>
    <w:rsid w:val="00BE7865"/>
    <w:rsid w:val="00BF0E43"/>
    <w:rsid w:val="00BF0FDF"/>
    <w:rsid w:val="00BF1663"/>
    <w:rsid w:val="00BF1D91"/>
    <w:rsid w:val="00BF3DDF"/>
    <w:rsid w:val="00BF486A"/>
    <w:rsid w:val="00BF4ADE"/>
    <w:rsid w:val="00BF6318"/>
    <w:rsid w:val="00BF63E0"/>
    <w:rsid w:val="00C015D3"/>
    <w:rsid w:val="00C01CD0"/>
    <w:rsid w:val="00C01D0C"/>
    <w:rsid w:val="00C01FFF"/>
    <w:rsid w:val="00C028DB"/>
    <w:rsid w:val="00C02DFB"/>
    <w:rsid w:val="00C107A8"/>
    <w:rsid w:val="00C12194"/>
    <w:rsid w:val="00C1327D"/>
    <w:rsid w:val="00C13414"/>
    <w:rsid w:val="00C14086"/>
    <w:rsid w:val="00C14D41"/>
    <w:rsid w:val="00C21C87"/>
    <w:rsid w:val="00C221DF"/>
    <w:rsid w:val="00C22355"/>
    <w:rsid w:val="00C240F1"/>
    <w:rsid w:val="00C2461D"/>
    <w:rsid w:val="00C251C6"/>
    <w:rsid w:val="00C2545F"/>
    <w:rsid w:val="00C255D8"/>
    <w:rsid w:val="00C30A8E"/>
    <w:rsid w:val="00C30FC2"/>
    <w:rsid w:val="00C3172B"/>
    <w:rsid w:val="00C3405E"/>
    <w:rsid w:val="00C34179"/>
    <w:rsid w:val="00C35149"/>
    <w:rsid w:val="00C37345"/>
    <w:rsid w:val="00C40FE3"/>
    <w:rsid w:val="00C41801"/>
    <w:rsid w:val="00C442AA"/>
    <w:rsid w:val="00C45182"/>
    <w:rsid w:val="00C50E0C"/>
    <w:rsid w:val="00C50F7F"/>
    <w:rsid w:val="00C51363"/>
    <w:rsid w:val="00C5190B"/>
    <w:rsid w:val="00C5376B"/>
    <w:rsid w:val="00C53D8B"/>
    <w:rsid w:val="00C5449D"/>
    <w:rsid w:val="00C564AF"/>
    <w:rsid w:val="00C56F59"/>
    <w:rsid w:val="00C5788A"/>
    <w:rsid w:val="00C57A77"/>
    <w:rsid w:val="00C6180F"/>
    <w:rsid w:val="00C62371"/>
    <w:rsid w:val="00C62781"/>
    <w:rsid w:val="00C64D67"/>
    <w:rsid w:val="00C65B2C"/>
    <w:rsid w:val="00C71026"/>
    <w:rsid w:val="00C71D11"/>
    <w:rsid w:val="00C73643"/>
    <w:rsid w:val="00C744B5"/>
    <w:rsid w:val="00C74E9E"/>
    <w:rsid w:val="00C76AD5"/>
    <w:rsid w:val="00C77135"/>
    <w:rsid w:val="00C77267"/>
    <w:rsid w:val="00C80D02"/>
    <w:rsid w:val="00C8161B"/>
    <w:rsid w:val="00C81B73"/>
    <w:rsid w:val="00C81D85"/>
    <w:rsid w:val="00C866D8"/>
    <w:rsid w:val="00C86BD7"/>
    <w:rsid w:val="00C86D42"/>
    <w:rsid w:val="00C86FC0"/>
    <w:rsid w:val="00C90BAE"/>
    <w:rsid w:val="00C936E3"/>
    <w:rsid w:val="00C94151"/>
    <w:rsid w:val="00C94995"/>
    <w:rsid w:val="00C97D97"/>
    <w:rsid w:val="00CA02FA"/>
    <w:rsid w:val="00CA1379"/>
    <w:rsid w:val="00CA1FB3"/>
    <w:rsid w:val="00CA2903"/>
    <w:rsid w:val="00CA2FDC"/>
    <w:rsid w:val="00CA3279"/>
    <w:rsid w:val="00CA603C"/>
    <w:rsid w:val="00CA6593"/>
    <w:rsid w:val="00CA6C48"/>
    <w:rsid w:val="00CA734F"/>
    <w:rsid w:val="00CA762C"/>
    <w:rsid w:val="00CB121D"/>
    <w:rsid w:val="00CB123E"/>
    <w:rsid w:val="00CB1F89"/>
    <w:rsid w:val="00CB3A16"/>
    <w:rsid w:val="00CB5AEC"/>
    <w:rsid w:val="00CB5FA1"/>
    <w:rsid w:val="00CB605D"/>
    <w:rsid w:val="00CB7A5E"/>
    <w:rsid w:val="00CC0170"/>
    <w:rsid w:val="00CC0267"/>
    <w:rsid w:val="00CC0FA6"/>
    <w:rsid w:val="00CC115E"/>
    <w:rsid w:val="00CC17B1"/>
    <w:rsid w:val="00CC208A"/>
    <w:rsid w:val="00CC250C"/>
    <w:rsid w:val="00CC3A0E"/>
    <w:rsid w:val="00CD0A5B"/>
    <w:rsid w:val="00CD1F4A"/>
    <w:rsid w:val="00CD4010"/>
    <w:rsid w:val="00CD4784"/>
    <w:rsid w:val="00CD4C80"/>
    <w:rsid w:val="00CD52E1"/>
    <w:rsid w:val="00CD72E1"/>
    <w:rsid w:val="00CD7EA4"/>
    <w:rsid w:val="00CE03E9"/>
    <w:rsid w:val="00CE2396"/>
    <w:rsid w:val="00CE274F"/>
    <w:rsid w:val="00CE2A75"/>
    <w:rsid w:val="00CE5DF4"/>
    <w:rsid w:val="00CE734A"/>
    <w:rsid w:val="00CF0611"/>
    <w:rsid w:val="00CF1B93"/>
    <w:rsid w:val="00CF1F96"/>
    <w:rsid w:val="00CF2FEF"/>
    <w:rsid w:val="00CF3562"/>
    <w:rsid w:val="00CF3BB8"/>
    <w:rsid w:val="00CF562C"/>
    <w:rsid w:val="00CF5BE2"/>
    <w:rsid w:val="00D0326E"/>
    <w:rsid w:val="00D108B2"/>
    <w:rsid w:val="00D1318C"/>
    <w:rsid w:val="00D15AF9"/>
    <w:rsid w:val="00D17BAF"/>
    <w:rsid w:val="00D20450"/>
    <w:rsid w:val="00D24BE2"/>
    <w:rsid w:val="00D2527C"/>
    <w:rsid w:val="00D27907"/>
    <w:rsid w:val="00D3441E"/>
    <w:rsid w:val="00D34CF5"/>
    <w:rsid w:val="00D41593"/>
    <w:rsid w:val="00D4217F"/>
    <w:rsid w:val="00D4487B"/>
    <w:rsid w:val="00D45AB7"/>
    <w:rsid w:val="00D50C6E"/>
    <w:rsid w:val="00D51BD7"/>
    <w:rsid w:val="00D53B93"/>
    <w:rsid w:val="00D5506A"/>
    <w:rsid w:val="00D56C09"/>
    <w:rsid w:val="00D5704F"/>
    <w:rsid w:val="00D61831"/>
    <w:rsid w:val="00D621E3"/>
    <w:rsid w:val="00D67450"/>
    <w:rsid w:val="00D67AD2"/>
    <w:rsid w:val="00D70160"/>
    <w:rsid w:val="00D71A1B"/>
    <w:rsid w:val="00D74632"/>
    <w:rsid w:val="00D76A6A"/>
    <w:rsid w:val="00D81EE8"/>
    <w:rsid w:val="00D84CF8"/>
    <w:rsid w:val="00D87C5D"/>
    <w:rsid w:val="00D902F1"/>
    <w:rsid w:val="00D93F97"/>
    <w:rsid w:val="00D94285"/>
    <w:rsid w:val="00D956A8"/>
    <w:rsid w:val="00D97505"/>
    <w:rsid w:val="00D97C01"/>
    <w:rsid w:val="00DA024D"/>
    <w:rsid w:val="00DA0299"/>
    <w:rsid w:val="00DA1429"/>
    <w:rsid w:val="00DA2ABC"/>
    <w:rsid w:val="00DA4F39"/>
    <w:rsid w:val="00DB01A3"/>
    <w:rsid w:val="00DB3684"/>
    <w:rsid w:val="00DB7CB7"/>
    <w:rsid w:val="00DC1024"/>
    <w:rsid w:val="00DC1C10"/>
    <w:rsid w:val="00DC3C7D"/>
    <w:rsid w:val="00DC413A"/>
    <w:rsid w:val="00DC6F98"/>
    <w:rsid w:val="00DC73DD"/>
    <w:rsid w:val="00DC7943"/>
    <w:rsid w:val="00DC7DD2"/>
    <w:rsid w:val="00DD2593"/>
    <w:rsid w:val="00DD27D6"/>
    <w:rsid w:val="00DD2CB8"/>
    <w:rsid w:val="00DD7B71"/>
    <w:rsid w:val="00DD7C01"/>
    <w:rsid w:val="00DD7E99"/>
    <w:rsid w:val="00DE1A38"/>
    <w:rsid w:val="00DE2DD4"/>
    <w:rsid w:val="00DE367C"/>
    <w:rsid w:val="00DE3CC8"/>
    <w:rsid w:val="00DE4CB9"/>
    <w:rsid w:val="00DE50B3"/>
    <w:rsid w:val="00DE63A8"/>
    <w:rsid w:val="00DF01B7"/>
    <w:rsid w:val="00DF0A0A"/>
    <w:rsid w:val="00DF2483"/>
    <w:rsid w:val="00DF2B1D"/>
    <w:rsid w:val="00DF2FC0"/>
    <w:rsid w:val="00DF31AF"/>
    <w:rsid w:val="00DF4C87"/>
    <w:rsid w:val="00DF5B09"/>
    <w:rsid w:val="00DF6C42"/>
    <w:rsid w:val="00E00063"/>
    <w:rsid w:val="00E015F6"/>
    <w:rsid w:val="00E02D28"/>
    <w:rsid w:val="00E056BE"/>
    <w:rsid w:val="00E07AC9"/>
    <w:rsid w:val="00E130A8"/>
    <w:rsid w:val="00E139D2"/>
    <w:rsid w:val="00E13A5E"/>
    <w:rsid w:val="00E15E1A"/>
    <w:rsid w:val="00E2025F"/>
    <w:rsid w:val="00E232CF"/>
    <w:rsid w:val="00E26139"/>
    <w:rsid w:val="00E30C73"/>
    <w:rsid w:val="00E325BC"/>
    <w:rsid w:val="00E34491"/>
    <w:rsid w:val="00E350AF"/>
    <w:rsid w:val="00E36280"/>
    <w:rsid w:val="00E366B0"/>
    <w:rsid w:val="00E42525"/>
    <w:rsid w:val="00E4288D"/>
    <w:rsid w:val="00E44241"/>
    <w:rsid w:val="00E44C29"/>
    <w:rsid w:val="00E4517F"/>
    <w:rsid w:val="00E46F8C"/>
    <w:rsid w:val="00E60008"/>
    <w:rsid w:val="00E61FE8"/>
    <w:rsid w:val="00E6343D"/>
    <w:rsid w:val="00E63E2A"/>
    <w:rsid w:val="00E643F0"/>
    <w:rsid w:val="00E6685E"/>
    <w:rsid w:val="00E67262"/>
    <w:rsid w:val="00E70A96"/>
    <w:rsid w:val="00E7198E"/>
    <w:rsid w:val="00E72FEA"/>
    <w:rsid w:val="00E743C7"/>
    <w:rsid w:val="00E74962"/>
    <w:rsid w:val="00E80529"/>
    <w:rsid w:val="00E81B35"/>
    <w:rsid w:val="00E8261E"/>
    <w:rsid w:val="00E8418A"/>
    <w:rsid w:val="00E8520E"/>
    <w:rsid w:val="00E867B3"/>
    <w:rsid w:val="00E86D0A"/>
    <w:rsid w:val="00E879B2"/>
    <w:rsid w:val="00E9214C"/>
    <w:rsid w:val="00E9229C"/>
    <w:rsid w:val="00E946D0"/>
    <w:rsid w:val="00E95171"/>
    <w:rsid w:val="00E9620B"/>
    <w:rsid w:val="00E974A2"/>
    <w:rsid w:val="00E976AF"/>
    <w:rsid w:val="00E97D27"/>
    <w:rsid w:val="00EA6028"/>
    <w:rsid w:val="00EA780C"/>
    <w:rsid w:val="00EB2247"/>
    <w:rsid w:val="00EB4737"/>
    <w:rsid w:val="00EB5C7A"/>
    <w:rsid w:val="00EB798A"/>
    <w:rsid w:val="00EC062A"/>
    <w:rsid w:val="00EC0F2C"/>
    <w:rsid w:val="00EC22D4"/>
    <w:rsid w:val="00EC2B70"/>
    <w:rsid w:val="00EC2E65"/>
    <w:rsid w:val="00EC3B17"/>
    <w:rsid w:val="00EC5575"/>
    <w:rsid w:val="00EC56F3"/>
    <w:rsid w:val="00EC622E"/>
    <w:rsid w:val="00EC6A18"/>
    <w:rsid w:val="00ED0F03"/>
    <w:rsid w:val="00ED26E9"/>
    <w:rsid w:val="00ED5007"/>
    <w:rsid w:val="00EE01C9"/>
    <w:rsid w:val="00EE18CC"/>
    <w:rsid w:val="00EE2F2F"/>
    <w:rsid w:val="00EE4918"/>
    <w:rsid w:val="00EE49BC"/>
    <w:rsid w:val="00EE6B85"/>
    <w:rsid w:val="00EE6F53"/>
    <w:rsid w:val="00EF39F3"/>
    <w:rsid w:val="00EF3F1C"/>
    <w:rsid w:val="00EF6958"/>
    <w:rsid w:val="00EF7429"/>
    <w:rsid w:val="00F02313"/>
    <w:rsid w:val="00F0250E"/>
    <w:rsid w:val="00F0576C"/>
    <w:rsid w:val="00F05B70"/>
    <w:rsid w:val="00F06216"/>
    <w:rsid w:val="00F06A46"/>
    <w:rsid w:val="00F07140"/>
    <w:rsid w:val="00F076FD"/>
    <w:rsid w:val="00F10626"/>
    <w:rsid w:val="00F15CE5"/>
    <w:rsid w:val="00F16871"/>
    <w:rsid w:val="00F2016C"/>
    <w:rsid w:val="00F2104B"/>
    <w:rsid w:val="00F217CD"/>
    <w:rsid w:val="00F2337C"/>
    <w:rsid w:val="00F247FB"/>
    <w:rsid w:val="00F266E2"/>
    <w:rsid w:val="00F319C4"/>
    <w:rsid w:val="00F321AF"/>
    <w:rsid w:val="00F378C4"/>
    <w:rsid w:val="00F37CCE"/>
    <w:rsid w:val="00F40B24"/>
    <w:rsid w:val="00F41FB3"/>
    <w:rsid w:val="00F42627"/>
    <w:rsid w:val="00F4387A"/>
    <w:rsid w:val="00F43916"/>
    <w:rsid w:val="00F44044"/>
    <w:rsid w:val="00F44E29"/>
    <w:rsid w:val="00F462B9"/>
    <w:rsid w:val="00F46B6A"/>
    <w:rsid w:val="00F52279"/>
    <w:rsid w:val="00F56DC9"/>
    <w:rsid w:val="00F5753F"/>
    <w:rsid w:val="00F61970"/>
    <w:rsid w:val="00F61E3D"/>
    <w:rsid w:val="00F622CB"/>
    <w:rsid w:val="00F625A4"/>
    <w:rsid w:val="00F67167"/>
    <w:rsid w:val="00F713EA"/>
    <w:rsid w:val="00F716FC"/>
    <w:rsid w:val="00F72814"/>
    <w:rsid w:val="00F7321B"/>
    <w:rsid w:val="00F8221C"/>
    <w:rsid w:val="00F878F0"/>
    <w:rsid w:val="00F93B4A"/>
    <w:rsid w:val="00F95479"/>
    <w:rsid w:val="00FA100B"/>
    <w:rsid w:val="00FA19D0"/>
    <w:rsid w:val="00FA3596"/>
    <w:rsid w:val="00FA4900"/>
    <w:rsid w:val="00FA4C2C"/>
    <w:rsid w:val="00FA4CC7"/>
    <w:rsid w:val="00FB0E0F"/>
    <w:rsid w:val="00FB2713"/>
    <w:rsid w:val="00FB35DA"/>
    <w:rsid w:val="00FB3E9C"/>
    <w:rsid w:val="00FB4A84"/>
    <w:rsid w:val="00FB51CD"/>
    <w:rsid w:val="00FB5DF3"/>
    <w:rsid w:val="00FB6069"/>
    <w:rsid w:val="00FB7F4B"/>
    <w:rsid w:val="00FC079E"/>
    <w:rsid w:val="00FC1204"/>
    <w:rsid w:val="00FC2AA8"/>
    <w:rsid w:val="00FC30E4"/>
    <w:rsid w:val="00FC48E9"/>
    <w:rsid w:val="00FC5013"/>
    <w:rsid w:val="00FC5CEF"/>
    <w:rsid w:val="00FC6257"/>
    <w:rsid w:val="00FC6A0F"/>
    <w:rsid w:val="00FC6B5B"/>
    <w:rsid w:val="00FD14F2"/>
    <w:rsid w:val="00FD19BE"/>
    <w:rsid w:val="00FD1F46"/>
    <w:rsid w:val="00FD44BF"/>
    <w:rsid w:val="00FD67E9"/>
    <w:rsid w:val="00FD7AE1"/>
    <w:rsid w:val="00FE0954"/>
    <w:rsid w:val="00FE13C8"/>
    <w:rsid w:val="00FE1F7E"/>
    <w:rsid w:val="00FE49A1"/>
    <w:rsid w:val="00FE55CD"/>
    <w:rsid w:val="00FE577D"/>
    <w:rsid w:val="00FE5A07"/>
    <w:rsid w:val="00FE5DAA"/>
    <w:rsid w:val="00FE6AA4"/>
    <w:rsid w:val="00FF06FF"/>
    <w:rsid w:val="00FF5E5C"/>
    <w:rsid w:val="00FF6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11C7BD-D168-4A1E-A6FB-BD040768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1C4DD7"/>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1C4DD7"/>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1C4DD7"/>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1C4DD7"/>
    <w:pPr>
      <w:keepNext/>
      <w:numPr>
        <w:ilvl w:val="3"/>
        <w:numId w:val="1"/>
      </w:numPr>
      <w:spacing w:before="240" w:after="60"/>
      <w:outlineLvl w:val="3"/>
    </w:pPr>
    <w:rPr>
      <w:b/>
      <w:bCs/>
      <w:sz w:val="28"/>
      <w:szCs w:val="28"/>
    </w:rPr>
  </w:style>
  <w:style w:type="paragraph" w:styleId="Nadpis5">
    <w:name w:val="heading 5"/>
    <w:basedOn w:val="Normln"/>
    <w:next w:val="Normln"/>
    <w:link w:val="Nadpis5Char"/>
    <w:qFormat/>
    <w:rsid w:val="001C4DD7"/>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1C4DD7"/>
    <w:pPr>
      <w:numPr>
        <w:ilvl w:val="5"/>
        <w:numId w:val="1"/>
      </w:numPr>
      <w:spacing w:before="240" w:after="60"/>
      <w:outlineLvl w:val="5"/>
    </w:pPr>
    <w:rPr>
      <w:b/>
      <w:bCs/>
      <w:sz w:val="22"/>
      <w:szCs w:val="22"/>
    </w:rPr>
  </w:style>
  <w:style w:type="paragraph" w:styleId="Nadpis7">
    <w:name w:val="heading 7"/>
    <w:basedOn w:val="Normln"/>
    <w:next w:val="Normln"/>
    <w:link w:val="Nadpis7Char"/>
    <w:qFormat/>
    <w:rsid w:val="001C4DD7"/>
    <w:pPr>
      <w:numPr>
        <w:ilvl w:val="6"/>
        <w:numId w:val="1"/>
      </w:numPr>
      <w:spacing w:before="240" w:after="60"/>
      <w:outlineLvl w:val="6"/>
    </w:pPr>
    <w:rPr>
      <w:sz w:val="20"/>
      <w:szCs w:val="20"/>
    </w:rPr>
  </w:style>
  <w:style w:type="paragraph" w:styleId="Nadpis8">
    <w:name w:val="heading 8"/>
    <w:basedOn w:val="Normln"/>
    <w:next w:val="Normln"/>
    <w:link w:val="Nadpis8Char"/>
    <w:qFormat/>
    <w:rsid w:val="001C4DD7"/>
    <w:pPr>
      <w:numPr>
        <w:ilvl w:val="7"/>
        <w:numId w:val="1"/>
      </w:numPr>
      <w:spacing w:before="240" w:after="60"/>
      <w:outlineLvl w:val="7"/>
    </w:pPr>
    <w:rPr>
      <w:i/>
      <w:iCs/>
      <w:sz w:val="20"/>
      <w:szCs w:val="20"/>
    </w:rPr>
  </w:style>
  <w:style w:type="paragraph" w:styleId="Nadpis9">
    <w:name w:val="heading 9"/>
    <w:basedOn w:val="Normln"/>
    <w:next w:val="Normln"/>
    <w:link w:val="Nadpis9Char"/>
    <w:qFormat/>
    <w:rsid w:val="001C4DD7"/>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E2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Text pozn. pod čarou_martin_ang,FaU_poznamka_pod_carou_a,Schriftart: 9 pt,Schriftart: 10 pt,Schriftart: 8 pt,Schriftart: 8 pt Char,MS1_Text footnote,Footnote,Fußnote,FSR footnote,lábléc,Footnote Text Char Char,Footnote Text Char1,fn"/>
    <w:basedOn w:val="Normln"/>
    <w:link w:val="TextpoznpodarouChar"/>
    <w:uiPriority w:val="99"/>
    <w:rsid w:val="00DE2DD4"/>
    <w:rPr>
      <w:sz w:val="20"/>
      <w:szCs w:val="20"/>
    </w:rPr>
  </w:style>
  <w:style w:type="character" w:styleId="Znakapoznpodarou">
    <w:name w:val="footnote reference"/>
    <w:aliases w:val="Footnote Reference Number,BVI fnr,Footnote Reference_LVL6,Footnote Reference_LVL61,Footnote Reference_LVL62,Footnote Reference_LVL63,Footnote Reference_LVL64,Footnote symbol,Footnote reference number,Fußnotenzeichen3,Char1,Re"/>
    <w:uiPriority w:val="99"/>
    <w:rsid w:val="00DE2DD4"/>
    <w:rPr>
      <w:vertAlign w:val="superscript"/>
    </w:rPr>
  </w:style>
  <w:style w:type="character" w:styleId="Hypertextovodkaz">
    <w:name w:val="Hyperlink"/>
    <w:rsid w:val="001A5870"/>
    <w:rPr>
      <w:color w:val="0000FF"/>
      <w:u w:val="single"/>
    </w:rPr>
  </w:style>
  <w:style w:type="paragraph" w:styleId="Textbubliny">
    <w:name w:val="Balloon Text"/>
    <w:basedOn w:val="Normln"/>
    <w:link w:val="TextbublinyChar"/>
    <w:uiPriority w:val="99"/>
    <w:rsid w:val="001D3013"/>
    <w:rPr>
      <w:rFonts w:ascii="Tahoma" w:hAnsi="Tahoma" w:cs="Tahoma"/>
      <w:sz w:val="16"/>
      <w:szCs w:val="16"/>
    </w:rPr>
  </w:style>
  <w:style w:type="character" w:customStyle="1" w:styleId="TextbublinyChar">
    <w:name w:val="Text bubliny Char"/>
    <w:basedOn w:val="Standardnpsmoodstavce"/>
    <w:link w:val="Textbubliny"/>
    <w:uiPriority w:val="99"/>
    <w:rsid w:val="001D3013"/>
    <w:rPr>
      <w:rFonts w:ascii="Tahoma" w:hAnsi="Tahoma" w:cs="Tahoma"/>
      <w:sz w:val="16"/>
      <w:szCs w:val="16"/>
    </w:rPr>
  </w:style>
  <w:style w:type="paragraph" w:styleId="Zhlav">
    <w:name w:val="header"/>
    <w:basedOn w:val="Normln"/>
    <w:link w:val="ZhlavChar"/>
    <w:uiPriority w:val="99"/>
    <w:rsid w:val="00D74632"/>
    <w:pPr>
      <w:tabs>
        <w:tab w:val="center" w:pos="4536"/>
        <w:tab w:val="right" w:pos="9072"/>
      </w:tabs>
    </w:pPr>
  </w:style>
  <w:style w:type="character" w:customStyle="1" w:styleId="ZhlavChar">
    <w:name w:val="Záhlaví Char"/>
    <w:basedOn w:val="Standardnpsmoodstavce"/>
    <w:link w:val="Zhlav"/>
    <w:uiPriority w:val="99"/>
    <w:rsid w:val="00D74632"/>
    <w:rPr>
      <w:sz w:val="24"/>
      <w:szCs w:val="24"/>
    </w:rPr>
  </w:style>
  <w:style w:type="paragraph" w:styleId="Zpat">
    <w:name w:val="footer"/>
    <w:basedOn w:val="Normln"/>
    <w:link w:val="ZpatChar"/>
    <w:uiPriority w:val="99"/>
    <w:rsid w:val="00D74632"/>
    <w:pPr>
      <w:tabs>
        <w:tab w:val="center" w:pos="4536"/>
        <w:tab w:val="right" w:pos="9072"/>
      </w:tabs>
    </w:pPr>
  </w:style>
  <w:style w:type="character" w:customStyle="1" w:styleId="ZpatChar">
    <w:name w:val="Zápatí Char"/>
    <w:basedOn w:val="Standardnpsmoodstavce"/>
    <w:link w:val="Zpat"/>
    <w:uiPriority w:val="99"/>
    <w:rsid w:val="00D74632"/>
    <w:rPr>
      <w:sz w:val="24"/>
      <w:szCs w:val="24"/>
    </w:rPr>
  </w:style>
  <w:style w:type="character" w:customStyle="1" w:styleId="Nadpis1Char">
    <w:name w:val="Nadpis 1 Char"/>
    <w:basedOn w:val="Standardnpsmoodstavce"/>
    <w:link w:val="Nadpis1"/>
    <w:rsid w:val="001C4DD7"/>
    <w:rPr>
      <w:rFonts w:ascii="Arial" w:hAnsi="Arial" w:cs="Arial"/>
      <w:b/>
      <w:bCs/>
      <w:kern w:val="32"/>
      <w:sz w:val="32"/>
      <w:szCs w:val="32"/>
    </w:rPr>
  </w:style>
  <w:style w:type="character" w:customStyle="1" w:styleId="Nadpis2Char">
    <w:name w:val="Nadpis 2 Char"/>
    <w:basedOn w:val="Standardnpsmoodstavce"/>
    <w:link w:val="Nadpis2"/>
    <w:rsid w:val="001C4DD7"/>
    <w:rPr>
      <w:rFonts w:ascii="Arial" w:hAnsi="Arial" w:cs="Arial"/>
      <w:b/>
      <w:bCs/>
      <w:i/>
      <w:iCs/>
      <w:sz w:val="28"/>
      <w:szCs w:val="28"/>
    </w:rPr>
  </w:style>
  <w:style w:type="character" w:customStyle="1" w:styleId="Nadpis3Char">
    <w:name w:val="Nadpis 3 Char"/>
    <w:basedOn w:val="Standardnpsmoodstavce"/>
    <w:link w:val="Nadpis3"/>
    <w:rsid w:val="001C4DD7"/>
    <w:rPr>
      <w:rFonts w:ascii="Arial" w:hAnsi="Arial" w:cs="Arial"/>
      <w:b/>
      <w:bCs/>
      <w:sz w:val="26"/>
      <w:szCs w:val="26"/>
    </w:rPr>
  </w:style>
  <w:style w:type="character" w:customStyle="1" w:styleId="Nadpis4Char">
    <w:name w:val="Nadpis 4 Char"/>
    <w:basedOn w:val="Standardnpsmoodstavce"/>
    <w:link w:val="Nadpis4"/>
    <w:rsid w:val="001C4DD7"/>
    <w:rPr>
      <w:b/>
      <w:bCs/>
      <w:sz w:val="28"/>
      <w:szCs w:val="28"/>
    </w:rPr>
  </w:style>
  <w:style w:type="character" w:customStyle="1" w:styleId="Nadpis5Char">
    <w:name w:val="Nadpis 5 Char"/>
    <w:basedOn w:val="Standardnpsmoodstavce"/>
    <w:link w:val="Nadpis5"/>
    <w:rsid w:val="001C4DD7"/>
    <w:rPr>
      <w:b/>
      <w:bCs/>
      <w:i/>
      <w:iCs/>
      <w:sz w:val="26"/>
      <w:szCs w:val="26"/>
    </w:rPr>
  </w:style>
  <w:style w:type="character" w:customStyle="1" w:styleId="Nadpis6Char">
    <w:name w:val="Nadpis 6 Char"/>
    <w:basedOn w:val="Standardnpsmoodstavce"/>
    <w:link w:val="Nadpis6"/>
    <w:rsid w:val="001C4DD7"/>
    <w:rPr>
      <w:b/>
      <w:bCs/>
      <w:sz w:val="22"/>
      <w:szCs w:val="22"/>
    </w:rPr>
  </w:style>
  <w:style w:type="character" w:customStyle="1" w:styleId="Nadpis7Char">
    <w:name w:val="Nadpis 7 Char"/>
    <w:basedOn w:val="Standardnpsmoodstavce"/>
    <w:link w:val="Nadpis7"/>
    <w:rsid w:val="001C4DD7"/>
  </w:style>
  <w:style w:type="character" w:customStyle="1" w:styleId="Nadpis8Char">
    <w:name w:val="Nadpis 8 Char"/>
    <w:basedOn w:val="Standardnpsmoodstavce"/>
    <w:link w:val="Nadpis8"/>
    <w:rsid w:val="001C4DD7"/>
    <w:rPr>
      <w:i/>
      <w:iCs/>
    </w:rPr>
  </w:style>
  <w:style w:type="character" w:customStyle="1" w:styleId="Nadpis9Char">
    <w:name w:val="Nadpis 9 Char"/>
    <w:basedOn w:val="Standardnpsmoodstavce"/>
    <w:link w:val="Nadpis9"/>
    <w:rsid w:val="001C4DD7"/>
    <w:rPr>
      <w:rFonts w:ascii="Arial" w:hAnsi="Arial" w:cs="Arial"/>
      <w:sz w:val="22"/>
      <w:szCs w:val="22"/>
    </w:rPr>
  </w:style>
  <w:style w:type="paragraph" w:styleId="Nzev">
    <w:name w:val="Title"/>
    <w:basedOn w:val="Normln"/>
    <w:link w:val="NzevChar"/>
    <w:qFormat/>
    <w:rsid w:val="001C4DD7"/>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1C4DD7"/>
    <w:rPr>
      <w:rFonts w:ascii="Arial" w:hAnsi="Arial" w:cs="Arial"/>
      <w:b/>
      <w:bCs/>
      <w:kern w:val="28"/>
      <w:sz w:val="32"/>
      <w:szCs w:val="32"/>
    </w:rPr>
  </w:style>
  <w:style w:type="paragraph" w:styleId="Podtitul">
    <w:name w:val="Subtitle"/>
    <w:basedOn w:val="Normln"/>
    <w:link w:val="PodtitulChar"/>
    <w:qFormat/>
    <w:rsid w:val="001C4DD7"/>
    <w:pPr>
      <w:spacing w:after="60"/>
      <w:jc w:val="center"/>
      <w:outlineLvl w:val="1"/>
    </w:pPr>
    <w:rPr>
      <w:rFonts w:ascii="Arial" w:hAnsi="Arial" w:cs="Arial"/>
    </w:rPr>
  </w:style>
  <w:style w:type="character" w:customStyle="1" w:styleId="PodtitulChar">
    <w:name w:val="Podtitul Char"/>
    <w:basedOn w:val="Standardnpsmoodstavce"/>
    <w:link w:val="Podtitul"/>
    <w:rsid w:val="001C4DD7"/>
    <w:rPr>
      <w:rFonts w:ascii="Arial" w:hAnsi="Arial" w:cs="Arial"/>
      <w:sz w:val="24"/>
      <w:szCs w:val="24"/>
    </w:rPr>
  </w:style>
  <w:style w:type="character" w:styleId="Siln">
    <w:name w:val="Strong"/>
    <w:basedOn w:val="Standardnpsmoodstavce"/>
    <w:qFormat/>
    <w:rsid w:val="001C4DD7"/>
    <w:rPr>
      <w:b/>
      <w:bCs/>
    </w:rPr>
  </w:style>
  <w:style w:type="character" w:styleId="Zdraznn">
    <w:name w:val="Emphasis"/>
    <w:basedOn w:val="Standardnpsmoodstavce"/>
    <w:qFormat/>
    <w:rsid w:val="001C4DD7"/>
    <w:rPr>
      <w:i/>
      <w:iCs/>
    </w:rPr>
  </w:style>
  <w:style w:type="paragraph" w:customStyle="1" w:styleId="articleNadpis1uroven">
    <w:name w:val="_article_Nadpis_1_uroven"/>
    <w:basedOn w:val="Normln"/>
    <w:autoRedefine/>
    <w:rsid w:val="001C4DD7"/>
    <w:pPr>
      <w:spacing w:after="240"/>
    </w:pPr>
    <w:rPr>
      <w:rFonts w:ascii="Calibri" w:hAnsi="Calibri"/>
      <w:b/>
      <w:caps/>
      <w:color w:val="6C2383"/>
      <w:spacing w:val="-2"/>
      <w:w w:val="98"/>
      <w:szCs w:val="22"/>
    </w:rPr>
  </w:style>
  <w:style w:type="paragraph" w:customStyle="1" w:styleId="articleperex">
    <w:name w:val="_article_perex"/>
    <w:basedOn w:val="Normln"/>
    <w:rsid w:val="001C4DD7"/>
    <w:pPr>
      <w:spacing w:after="480" w:line="240" w:lineRule="exact"/>
      <w:jc w:val="both"/>
    </w:pPr>
    <w:rPr>
      <w:rFonts w:ascii="Calibri" w:hAnsi="Calibri" w:cs="Segoe UI"/>
      <w:i/>
      <w:color w:val="262626"/>
      <w:spacing w:val="-2"/>
      <w:w w:val="98"/>
      <w:kern w:val="16"/>
      <w:sz w:val="21"/>
      <w:szCs w:val="18"/>
    </w:rPr>
  </w:style>
  <w:style w:type="paragraph" w:customStyle="1" w:styleId="articleautori">
    <w:name w:val="_article_autori"/>
    <w:basedOn w:val="Normln"/>
    <w:rsid w:val="001C4DD7"/>
    <w:pPr>
      <w:spacing w:after="240" w:line="240" w:lineRule="exact"/>
      <w:jc w:val="both"/>
    </w:pPr>
    <w:rPr>
      <w:rFonts w:ascii="Calibri" w:hAnsi="Calibri"/>
      <w:color w:val="0D0D0D"/>
      <w:spacing w:val="-2"/>
      <w:w w:val="98"/>
      <w:sz w:val="21"/>
      <w:szCs w:val="20"/>
    </w:rPr>
  </w:style>
  <w:style w:type="paragraph" w:customStyle="1" w:styleId="articleNadpis2uroven">
    <w:name w:val="_article_Nadpis_2_uroven"/>
    <w:basedOn w:val="Normln"/>
    <w:rsid w:val="001C4DD7"/>
    <w:pPr>
      <w:numPr>
        <w:numId w:val="2"/>
      </w:numPr>
      <w:spacing w:before="480" w:after="240"/>
    </w:pPr>
    <w:rPr>
      <w:rFonts w:ascii="Calibri" w:hAnsi="Calibri"/>
      <w:b/>
      <w:caps/>
      <w:color w:val="000000"/>
      <w:spacing w:val="-4"/>
      <w:w w:val="98"/>
      <w:sz w:val="21"/>
      <w:szCs w:val="20"/>
    </w:rPr>
  </w:style>
  <w:style w:type="paragraph" w:customStyle="1" w:styleId="articletextodstavce">
    <w:name w:val="_article_text_odstavce"/>
    <w:basedOn w:val="Normln"/>
    <w:link w:val="articletextodstavceChar"/>
    <w:rsid w:val="001C4DD7"/>
    <w:pPr>
      <w:spacing w:after="240" w:line="240" w:lineRule="exact"/>
      <w:jc w:val="both"/>
    </w:pPr>
    <w:rPr>
      <w:rFonts w:ascii="Calibri" w:hAnsi="Calibri"/>
      <w:color w:val="0D0D0D"/>
      <w:spacing w:val="-2"/>
      <w:w w:val="98"/>
      <w:kern w:val="16"/>
      <w:sz w:val="21"/>
      <w:szCs w:val="20"/>
    </w:rPr>
  </w:style>
  <w:style w:type="character" w:customStyle="1" w:styleId="articletextodstavceChar">
    <w:name w:val="_article_text_odstavce Char"/>
    <w:basedOn w:val="Standardnpsmoodstavce"/>
    <w:link w:val="articletextodstavce"/>
    <w:locked/>
    <w:rsid w:val="001C4DD7"/>
    <w:rPr>
      <w:rFonts w:ascii="Calibri" w:hAnsi="Calibri"/>
      <w:color w:val="0D0D0D"/>
      <w:spacing w:val="-2"/>
      <w:w w:val="98"/>
      <w:kern w:val="16"/>
      <w:sz w:val="21"/>
    </w:rPr>
  </w:style>
  <w:style w:type="paragraph" w:customStyle="1" w:styleId="articlepoznamkapodcaroutext">
    <w:name w:val="_article_poznamka_pod_carou_text"/>
    <w:basedOn w:val="Textpoznpodarou"/>
    <w:link w:val="articlepoznamkapodcaroutextChar"/>
    <w:autoRedefine/>
    <w:rsid w:val="001C4DD7"/>
    <w:pPr>
      <w:contextualSpacing/>
      <w:jc w:val="both"/>
    </w:pPr>
    <w:rPr>
      <w:rFonts w:ascii="Calibri" w:hAnsi="Calibri" w:cs="Segoe UI"/>
      <w:spacing w:val="-2"/>
      <w:w w:val="99"/>
      <w:sz w:val="16"/>
    </w:rPr>
  </w:style>
  <w:style w:type="character" w:customStyle="1" w:styleId="articlepoznamkapodcaroutextChar">
    <w:name w:val="_article_poznamka_pod_carou_text Char"/>
    <w:basedOn w:val="Standardnpsmoodstavce"/>
    <w:link w:val="articlepoznamkapodcaroutext"/>
    <w:locked/>
    <w:rsid w:val="001C4DD7"/>
    <w:rPr>
      <w:rFonts w:ascii="Calibri" w:hAnsi="Calibri" w:cs="Segoe UI"/>
      <w:spacing w:val="-2"/>
      <w:w w:val="99"/>
      <w:sz w:val="16"/>
    </w:rPr>
  </w:style>
  <w:style w:type="paragraph" w:styleId="Zkladntext">
    <w:name w:val="Body Text"/>
    <w:basedOn w:val="Normln"/>
    <w:link w:val="ZkladntextChar"/>
    <w:rsid w:val="001C4DD7"/>
    <w:pPr>
      <w:spacing w:after="120"/>
    </w:pPr>
    <w:rPr>
      <w:sz w:val="20"/>
      <w:szCs w:val="20"/>
    </w:rPr>
  </w:style>
  <w:style w:type="character" w:customStyle="1" w:styleId="ZkladntextChar">
    <w:name w:val="Základní text Char"/>
    <w:basedOn w:val="Standardnpsmoodstavce"/>
    <w:link w:val="Zkladntext"/>
    <w:rsid w:val="001C4DD7"/>
  </w:style>
  <w:style w:type="paragraph" w:customStyle="1" w:styleId="articlegrafoznaceni">
    <w:name w:val="_article_graf_oznaceni"/>
    <w:basedOn w:val="Normln"/>
    <w:rsid w:val="001C4DD7"/>
    <w:pPr>
      <w:pBdr>
        <w:bottom w:val="single" w:sz="4" w:space="2" w:color="auto"/>
      </w:pBdr>
    </w:pPr>
    <w:rPr>
      <w:rFonts w:ascii="Calibri" w:hAnsi="Calibri" w:cs="Segoe UI"/>
      <w:b/>
      <w:smallCaps/>
      <w:color w:val="6C2383"/>
      <w:spacing w:val="-2"/>
      <w:w w:val="98"/>
      <w:sz w:val="19"/>
      <w:szCs w:val="16"/>
    </w:rPr>
  </w:style>
  <w:style w:type="paragraph" w:customStyle="1" w:styleId="articlegrafpopisek">
    <w:name w:val="_article_graf_popisek"/>
    <w:basedOn w:val="Normln"/>
    <w:rsid w:val="001C4DD7"/>
    <w:pPr>
      <w:pBdr>
        <w:bottom w:val="single" w:sz="4" w:space="3" w:color="auto"/>
      </w:pBdr>
    </w:pPr>
    <w:rPr>
      <w:rFonts w:ascii="Calibri" w:hAnsi="Calibri" w:cs="Segoe UI"/>
      <w:spacing w:val="-2"/>
      <w:w w:val="99"/>
      <w:sz w:val="14"/>
      <w:szCs w:val="12"/>
    </w:rPr>
  </w:style>
  <w:style w:type="paragraph" w:customStyle="1" w:styleId="articlegrafgraf">
    <w:name w:val="_article_graf_graf"/>
    <w:rsid w:val="001C4DD7"/>
    <w:pPr>
      <w:framePr w:hSpace="141" w:wrap="around" w:vAnchor="page" w:hAnchor="page" w:x="1167" w:y="3008"/>
      <w:jc w:val="center"/>
    </w:pPr>
    <w:rPr>
      <w:rFonts w:ascii="Frutiger CE 45 Light" w:hAnsi="Frutiger CE 45 Light" w:cs="Segoe UI"/>
      <w:spacing w:val="-2"/>
      <w:w w:val="99"/>
      <w:sz w:val="13"/>
      <w:szCs w:val="12"/>
    </w:rPr>
  </w:style>
  <w:style w:type="paragraph" w:customStyle="1" w:styleId="articlegrafpodtitulek">
    <w:name w:val="_article_graf_podtitulek"/>
    <w:basedOn w:val="articlegrafpopisek"/>
    <w:rsid w:val="001C4DD7"/>
    <w:pPr>
      <w:framePr w:hSpace="141" w:wrap="around" w:vAnchor="page" w:hAnchor="page" w:x="1167" w:y="3008"/>
      <w:pBdr>
        <w:bottom w:val="none" w:sz="0" w:space="0" w:color="auto"/>
      </w:pBdr>
    </w:pPr>
  </w:style>
  <w:style w:type="paragraph" w:customStyle="1" w:styleId="arcitlegrafnadpisekclanek">
    <w:name w:val="_arcitle_graf_nadpisek_clanek"/>
    <w:basedOn w:val="Normln"/>
    <w:rsid w:val="001C4DD7"/>
    <w:pPr>
      <w:framePr w:vSpace="113" w:wrap="around" w:hAnchor="margin" w:xAlign="center" w:yAlign="top"/>
      <w:spacing w:before="50"/>
      <w:suppressOverlap/>
    </w:pPr>
    <w:rPr>
      <w:rFonts w:ascii="Calibri" w:hAnsi="Calibri" w:cs="Segoe UI"/>
      <w:b/>
      <w:caps/>
      <w:spacing w:val="-4"/>
      <w:w w:val="98"/>
      <w:sz w:val="17"/>
      <w:szCs w:val="15"/>
    </w:rPr>
  </w:style>
  <w:style w:type="paragraph" w:customStyle="1" w:styleId="articlegrafnadpiseksubclanek">
    <w:name w:val="_article_graf_nadpisek_sub_clanek"/>
    <w:basedOn w:val="arcitlegrafnadpisekclanek"/>
    <w:rsid w:val="001C4DD7"/>
    <w:pPr>
      <w:framePr w:wrap="around"/>
    </w:pPr>
    <w:rPr>
      <w:caps w:val="0"/>
    </w:rPr>
  </w:style>
  <w:style w:type="paragraph" w:customStyle="1" w:styleId="articlepoznamkapodcaroucislo">
    <w:name w:val="_article_poznamka_pod_carou_cislo"/>
    <w:basedOn w:val="articlepoznamkapodcaroutext"/>
    <w:link w:val="articlepoznamkapodcaroucisloChar"/>
    <w:rsid w:val="001C4DD7"/>
  </w:style>
  <w:style w:type="paragraph" w:customStyle="1" w:styleId="articlerovnicecislovani">
    <w:name w:val="_article_rovnice_cislovani"/>
    <w:basedOn w:val="Titulek"/>
    <w:link w:val="articlerovnicecislovaniChar"/>
    <w:rsid w:val="001C4DD7"/>
    <w:pPr>
      <w:keepNext/>
      <w:spacing w:after="0"/>
      <w:jc w:val="center"/>
    </w:pPr>
    <w:rPr>
      <w:rFonts w:ascii="Calibri" w:hAnsi="Calibri"/>
      <w:b w:val="0"/>
    </w:rPr>
  </w:style>
  <w:style w:type="character" w:customStyle="1" w:styleId="TextpoznpodarouChar">
    <w:name w:val="Text pozn. pod čarou Char"/>
    <w:aliases w:val="Text pozn. pod čarou_martin_ang Char,FaU_poznamka_pod_carou_a Char,Schriftart: 9 pt Char,Schriftart: 10 pt Char,Schriftart: 8 pt Char1,Schriftart: 8 pt Char Char,MS1_Text footnote Char,Footnote Char,Fußnote Char,lábléc Char"/>
    <w:basedOn w:val="Standardnpsmoodstavce"/>
    <w:link w:val="Textpoznpodarou"/>
    <w:uiPriority w:val="99"/>
    <w:rsid w:val="001C4DD7"/>
  </w:style>
  <w:style w:type="paragraph" w:styleId="Titulek">
    <w:name w:val="caption"/>
    <w:basedOn w:val="Normln"/>
    <w:next w:val="Normln"/>
    <w:link w:val="TitulekChar"/>
    <w:qFormat/>
    <w:rsid w:val="001C4DD7"/>
    <w:pPr>
      <w:spacing w:after="200"/>
    </w:pPr>
    <w:rPr>
      <w:b/>
      <w:bCs/>
      <w:color w:val="4F81BD"/>
      <w:sz w:val="18"/>
      <w:szCs w:val="18"/>
    </w:rPr>
  </w:style>
  <w:style w:type="paragraph" w:styleId="Obsah5">
    <w:name w:val="toc 5"/>
    <w:basedOn w:val="Normln"/>
    <w:next w:val="Normln"/>
    <w:autoRedefine/>
    <w:rsid w:val="001C4DD7"/>
    <w:pPr>
      <w:ind w:left="960"/>
    </w:pPr>
    <w:rPr>
      <w:sz w:val="20"/>
      <w:szCs w:val="20"/>
    </w:rPr>
  </w:style>
  <w:style w:type="paragraph" w:customStyle="1" w:styleId="articleNadpis3uroven">
    <w:name w:val="_article_Nadpis_3_uroven"/>
    <w:rsid w:val="001C4DD7"/>
    <w:pPr>
      <w:numPr>
        <w:ilvl w:val="1"/>
        <w:numId w:val="2"/>
      </w:numPr>
    </w:pPr>
    <w:rPr>
      <w:rFonts w:ascii="Calibri" w:hAnsi="Calibri"/>
      <w:b/>
      <w:color w:val="000000"/>
      <w:spacing w:val="-4"/>
      <w:w w:val="98"/>
      <w:sz w:val="21"/>
    </w:rPr>
  </w:style>
  <w:style w:type="paragraph" w:styleId="Rozloendokumentu">
    <w:name w:val="Document Map"/>
    <w:basedOn w:val="Normln"/>
    <w:link w:val="RozloendokumentuChar"/>
    <w:rsid w:val="001C4DD7"/>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1C4DD7"/>
    <w:rPr>
      <w:rFonts w:ascii="Tahoma" w:hAnsi="Tahoma" w:cs="Tahoma"/>
      <w:shd w:val="clear" w:color="auto" w:fill="000080"/>
    </w:rPr>
  </w:style>
  <w:style w:type="character" w:customStyle="1" w:styleId="articlepoznamkapodcaroucisloChar">
    <w:name w:val="_article_poznamka_pod_carou_cislo Char"/>
    <w:basedOn w:val="articlepoznamkapodcaroutextChar"/>
    <w:link w:val="articlepoznamkapodcaroucislo"/>
    <w:rsid w:val="001C4DD7"/>
    <w:rPr>
      <w:rFonts w:ascii="Calibri" w:hAnsi="Calibri" w:cs="Segoe UI"/>
      <w:spacing w:val="-2"/>
      <w:w w:val="99"/>
      <w:sz w:val="16"/>
    </w:rPr>
  </w:style>
  <w:style w:type="character" w:customStyle="1" w:styleId="TitulekChar">
    <w:name w:val="Titulek Char"/>
    <w:basedOn w:val="Standardnpsmoodstavce"/>
    <w:link w:val="Titulek"/>
    <w:rsid w:val="001C4DD7"/>
    <w:rPr>
      <w:b/>
      <w:bCs/>
      <w:color w:val="4F81BD"/>
      <w:sz w:val="18"/>
      <w:szCs w:val="18"/>
    </w:rPr>
  </w:style>
  <w:style w:type="character" w:customStyle="1" w:styleId="articlerovnicecislovaniChar">
    <w:name w:val="_article_rovnice_cislovani Char"/>
    <w:basedOn w:val="TitulekChar"/>
    <w:link w:val="articlerovnicecislovani"/>
    <w:rsid w:val="001C4DD7"/>
    <w:rPr>
      <w:rFonts w:ascii="Calibri" w:hAnsi="Calibri"/>
      <w:b w:val="0"/>
      <w:bCs/>
      <w:color w:val="4F81BD"/>
      <w:sz w:val="18"/>
      <w:szCs w:val="18"/>
    </w:rPr>
  </w:style>
  <w:style w:type="character" w:styleId="Sledovanodkaz">
    <w:name w:val="FollowedHyperlink"/>
    <w:basedOn w:val="Standardnpsmoodstavce"/>
    <w:rsid w:val="00936576"/>
    <w:rPr>
      <w:color w:val="800080" w:themeColor="followedHyperlink"/>
      <w:u w:val="single"/>
    </w:rPr>
  </w:style>
  <w:style w:type="paragraph" w:customStyle="1" w:styleId="NADPIS10">
    <w:name w:val="_NADPIS_1"/>
    <w:basedOn w:val="Normln"/>
    <w:qFormat/>
    <w:rsid w:val="00630EC6"/>
    <w:pPr>
      <w:keepNext/>
      <w:tabs>
        <w:tab w:val="left" w:pos="397"/>
      </w:tabs>
      <w:spacing w:after="240"/>
    </w:pPr>
    <w:rPr>
      <w:rFonts w:eastAsia="Calibri"/>
      <w:b/>
      <w:caps/>
      <w:lang w:eastAsia="en-US"/>
    </w:rPr>
  </w:style>
  <w:style w:type="paragraph" w:customStyle="1" w:styleId="Hlavnitext">
    <w:name w:val="_Hlavni_text"/>
    <w:basedOn w:val="Normln"/>
    <w:link w:val="HlavnitextChar"/>
    <w:qFormat/>
    <w:rsid w:val="00630EC6"/>
    <w:pPr>
      <w:spacing w:after="240"/>
      <w:jc w:val="both"/>
    </w:pPr>
  </w:style>
  <w:style w:type="character" w:customStyle="1" w:styleId="HlavnitextChar">
    <w:name w:val="_Hlavni_text Char"/>
    <w:link w:val="Hlavnitext"/>
    <w:rsid w:val="00630EC6"/>
    <w:rPr>
      <w:sz w:val="24"/>
      <w:szCs w:val="24"/>
    </w:rPr>
  </w:style>
  <w:style w:type="paragraph" w:customStyle="1" w:styleId="NADPIS20">
    <w:name w:val="_NADPIS_2"/>
    <w:basedOn w:val="NADPIS10"/>
    <w:qFormat/>
    <w:rsid w:val="00630EC6"/>
    <w:pPr>
      <w:spacing w:before="240"/>
    </w:pPr>
  </w:style>
  <w:style w:type="paragraph" w:customStyle="1" w:styleId="NADPIS30">
    <w:name w:val="_NADPIS_3"/>
    <w:basedOn w:val="Normln"/>
    <w:qFormat/>
    <w:rsid w:val="00630EC6"/>
    <w:pPr>
      <w:spacing w:before="240" w:after="120"/>
      <w:jc w:val="both"/>
    </w:pPr>
    <w:rPr>
      <w:rFonts w:eastAsiaTheme="minorHAnsi"/>
      <w:b/>
      <w:lang w:eastAsia="en-US"/>
    </w:rPr>
  </w:style>
  <w:style w:type="paragraph" w:customStyle="1" w:styleId="Grafnazev">
    <w:name w:val="_Graf_nazev"/>
    <w:basedOn w:val="Normln"/>
    <w:qFormat/>
    <w:rsid w:val="00630EC6"/>
    <w:pPr>
      <w:framePr w:hSpace="141" w:wrap="around" w:vAnchor="text" w:hAnchor="margin" w:y="74"/>
    </w:pPr>
    <w:rPr>
      <w:rFonts w:ascii="Arial" w:hAnsi="Arial"/>
      <w:sz w:val="20"/>
    </w:rPr>
  </w:style>
  <w:style w:type="paragraph" w:customStyle="1" w:styleId="Grafjednotky">
    <w:name w:val="_Graf_jednotky"/>
    <w:basedOn w:val="Normln"/>
    <w:qFormat/>
    <w:rsid w:val="00630EC6"/>
    <w:pPr>
      <w:framePr w:hSpace="141" w:wrap="around" w:vAnchor="text" w:hAnchor="margin" w:y="74"/>
    </w:pPr>
    <w:rPr>
      <w:rFonts w:ascii="Arial" w:hAnsi="Arial"/>
      <w:sz w:val="16"/>
    </w:rPr>
  </w:style>
  <w:style w:type="paragraph" w:customStyle="1" w:styleId="grafnazev0">
    <w:name w:val="_graf_nazev"/>
    <w:basedOn w:val="Normln"/>
    <w:qFormat/>
    <w:rsid w:val="00630EC6"/>
    <w:rPr>
      <w:rFonts w:ascii="Arial" w:hAnsi="Arial"/>
      <w:b/>
      <w:sz w:val="20"/>
    </w:rPr>
  </w:style>
  <w:style w:type="paragraph" w:customStyle="1" w:styleId="Abstrakt">
    <w:name w:val="_Abstrakt"/>
    <w:basedOn w:val="Hlavnitext"/>
    <w:qFormat/>
    <w:rsid w:val="00630EC6"/>
    <w:rPr>
      <w:i/>
      <w:lang w:val="la-Latn"/>
    </w:rPr>
  </w:style>
  <w:style w:type="paragraph" w:customStyle="1" w:styleId="NAZEVCLANKU">
    <w:name w:val="_NAZEV_CLANKU"/>
    <w:basedOn w:val="NADPIS10"/>
    <w:qFormat/>
    <w:rsid w:val="00630EC6"/>
  </w:style>
  <w:style w:type="character" w:styleId="Odkaznakoment">
    <w:name w:val="annotation reference"/>
    <w:basedOn w:val="Standardnpsmoodstavce"/>
    <w:rsid w:val="004F57C5"/>
    <w:rPr>
      <w:sz w:val="16"/>
      <w:szCs w:val="16"/>
    </w:rPr>
  </w:style>
  <w:style w:type="paragraph" w:styleId="Textkomente">
    <w:name w:val="annotation text"/>
    <w:basedOn w:val="Normln"/>
    <w:link w:val="TextkomenteChar"/>
    <w:rsid w:val="004F57C5"/>
    <w:rPr>
      <w:sz w:val="20"/>
      <w:szCs w:val="20"/>
    </w:rPr>
  </w:style>
  <w:style w:type="character" w:customStyle="1" w:styleId="TextkomenteChar">
    <w:name w:val="Text komentáře Char"/>
    <w:basedOn w:val="Standardnpsmoodstavce"/>
    <w:link w:val="Textkomente"/>
    <w:rsid w:val="004F57C5"/>
  </w:style>
  <w:style w:type="paragraph" w:styleId="Pedmtkomente">
    <w:name w:val="annotation subject"/>
    <w:basedOn w:val="Textkomente"/>
    <w:next w:val="Textkomente"/>
    <w:link w:val="PedmtkomenteChar"/>
    <w:rsid w:val="004F57C5"/>
    <w:rPr>
      <w:b/>
      <w:bCs/>
    </w:rPr>
  </w:style>
  <w:style w:type="character" w:customStyle="1" w:styleId="PedmtkomenteChar">
    <w:name w:val="Předmět komentáře Char"/>
    <w:basedOn w:val="TextkomenteChar"/>
    <w:link w:val="Pedmtkomente"/>
    <w:rsid w:val="004F57C5"/>
    <w:rPr>
      <w:b/>
      <w:bCs/>
    </w:rPr>
  </w:style>
  <w:style w:type="paragraph" w:styleId="Revize">
    <w:name w:val="Revision"/>
    <w:hidden/>
    <w:uiPriority w:val="99"/>
    <w:semiHidden/>
    <w:rsid w:val="004F57C5"/>
    <w:rPr>
      <w:sz w:val="24"/>
      <w:szCs w:val="24"/>
    </w:rPr>
  </w:style>
  <w:style w:type="paragraph" w:customStyle="1" w:styleId="Nadpisekodstavce">
    <w:name w:val="_Nadpisek_odstavce"/>
    <w:basedOn w:val="Normln"/>
    <w:qFormat/>
    <w:rsid w:val="0004285E"/>
    <w:pPr>
      <w:keepNext/>
      <w:spacing w:before="240"/>
      <w:jc w:val="both"/>
    </w:pPr>
    <w:rPr>
      <w:b/>
    </w:rPr>
  </w:style>
  <w:style w:type="paragraph" w:customStyle="1" w:styleId="textodstavce">
    <w:name w:val="_text_odstavce"/>
    <w:basedOn w:val="Normln"/>
    <w:link w:val="textodstavceChar"/>
    <w:qFormat/>
    <w:rsid w:val="0004285E"/>
    <w:pPr>
      <w:spacing w:after="240"/>
      <w:jc w:val="both"/>
    </w:pPr>
  </w:style>
  <w:style w:type="character" w:customStyle="1" w:styleId="textodstavceChar">
    <w:name w:val="_text_odstavce Char"/>
    <w:link w:val="textodstavce"/>
    <w:rsid w:val="0004285E"/>
    <w:rPr>
      <w:sz w:val="24"/>
      <w:szCs w:val="24"/>
    </w:rPr>
  </w:style>
  <w:style w:type="paragraph" w:customStyle="1" w:styleId="poznamkapodcarouEVA">
    <w:name w:val="_poznamka pod carou_EVA"/>
    <w:basedOn w:val="Textpoznpodarou"/>
    <w:qFormat/>
    <w:rsid w:val="0004285E"/>
    <w:pPr>
      <w:jc w:val="both"/>
    </w:pPr>
  </w:style>
  <w:style w:type="paragraph" w:customStyle="1" w:styleId="BOXnadpisekodstavce">
    <w:name w:val="_BOX_nadpisek_odstavce"/>
    <w:basedOn w:val="Normln"/>
    <w:qFormat/>
    <w:rsid w:val="00AE69D0"/>
    <w:pPr>
      <w:pBdr>
        <w:top w:val="single" w:sz="24" w:space="1" w:color="E5DFEC"/>
        <w:left w:val="single" w:sz="12" w:space="4" w:color="E5DFEC"/>
        <w:bottom w:val="single" w:sz="24" w:space="1" w:color="E5DFEC"/>
        <w:right w:val="single" w:sz="12" w:space="4" w:color="E5DFEC"/>
      </w:pBdr>
      <w:shd w:val="clear" w:color="auto" w:fill="E5DFEC"/>
      <w:spacing w:before="240" w:after="240"/>
      <w:ind w:left="113" w:right="113"/>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99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C08E7-C80F-4F6B-84AC-0E14D2468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10</Pages>
  <Words>3858</Words>
  <Characters>22766</Characters>
  <Application>Microsoft Office Word</Application>
  <DocSecurity>0</DocSecurity>
  <Lines>189</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NEJDŘÍVE SI PŘEČÍST</vt:lpstr>
      <vt:lpstr>NEJDŘÍVE SI PŘEČÍST</vt:lpstr>
    </vt:vector>
  </TitlesOfParts>
  <Company>Česká národní banka</Company>
  <LinksUpToDate>false</LinksUpToDate>
  <CharactersWithSpaces>26571</CharactersWithSpaces>
  <SharedDoc>false</SharedDoc>
  <HLinks>
    <vt:vector size="6" baseType="variant">
      <vt:variant>
        <vt:i4>10289401</vt:i4>
      </vt:variant>
      <vt:variant>
        <vt:i4>0</vt:i4>
      </vt:variant>
      <vt:variant>
        <vt:i4>0</vt:i4>
      </vt:variant>
      <vt:variant>
        <vt:i4>5</vt:i4>
      </vt:variant>
      <vt:variant>
        <vt:lpwstr>\\AALD\AALD$\LDS180\Admin\EditZFS\__Sablony_&amp;_Pravidla\Zásady číslování grafů a tabulek.doc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NEJDŘÍVE SI PŘEČÍST</dc:title>
  <dc:creator>u03775</dc:creator>
  <cp:lastModifiedBy>JF</cp:lastModifiedBy>
  <cp:revision>25</cp:revision>
  <cp:lastPrinted>2017-12-14T11:35:00Z</cp:lastPrinted>
  <dcterms:created xsi:type="dcterms:W3CDTF">2017-12-14T08:42:00Z</dcterms:created>
  <dcterms:modified xsi:type="dcterms:W3CDTF">2018-01-07T18:12:00Z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1024010846</vt:i4>
  </property>
  <property fmtid="{D5CDD505-2E9C-101B-9397-08002B2CF9AE}" pid="4" name="_EmailSubject">
    <vt:lpwstr>JF prosba</vt:lpwstr>
  </property>
  <property fmtid="{D5CDD505-2E9C-101B-9397-08002B2CF9AE}" pid="5" name="_AuthorEmail">
    <vt:lpwstr>Jan.Frait@cnb.cz</vt:lpwstr>
  </property>
  <property fmtid="{D5CDD505-2E9C-101B-9397-08002B2CF9AE}" pid="6" name="_AuthorEmailDisplayName">
    <vt:lpwstr>Frait Jan</vt:lpwstr>
  </property>
  <property fmtid="{D5CDD505-2E9C-101B-9397-08002B2CF9AE}" pid="7" name="_PreviousAdHocReviewCycleID">
    <vt:i4>914894418</vt:i4>
  </property>
  <property fmtid="{D5CDD505-2E9C-101B-9397-08002B2CF9AE}" pid="8" name="_ReviewingToolsShownOnce">
    <vt:lpwstr/>
  </property>
</Properties>
</file>