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1EA0C" w14:textId="213B2C13" w:rsidR="0093439A" w:rsidRPr="00E83519" w:rsidRDefault="00A165D9" w:rsidP="00E83519">
      <w:pPr>
        <w:pStyle w:val="Nzev"/>
      </w:pPr>
      <w:r>
        <w:t>Czech Pension Reform Plan</w:t>
      </w:r>
    </w:p>
    <w:p w14:paraId="4F7CC485" w14:textId="0F622572" w:rsidR="003D01DD" w:rsidRDefault="00A165D9" w:rsidP="0093439A">
      <w:pPr>
        <w:pStyle w:val="Author"/>
      </w:pPr>
      <w:r>
        <w:t>Jaroslav Vostatek</w:t>
      </w:r>
      <w:r w:rsidR="002B72C4">
        <w:rPr>
          <w:rStyle w:val="Znakapoznpodarou"/>
          <w:b/>
          <w:i/>
        </w:rPr>
        <w:footnoteReference w:customMarkFollows="1" w:id="1"/>
        <w:t>*</w:t>
      </w:r>
    </w:p>
    <w:p w14:paraId="1FC7A0B3" w14:textId="77777777" w:rsidR="009F3EA7" w:rsidRDefault="00DF09F5" w:rsidP="009F3EA7">
      <w:pPr>
        <w:pStyle w:val="Abstract"/>
      </w:pPr>
      <w:r w:rsidRPr="00216FD2">
        <w:rPr>
          <w:rStyle w:val="AbstractHeader"/>
        </w:rPr>
        <w:t>Abstract.</w:t>
      </w:r>
      <w:r>
        <w:t xml:space="preserve"> </w:t>
      </w:r>
      <w:r w:rsidR="009F3EA7">
        <w:t>Czech public pensions are incomprehensible for its participants. Pension theory recommends their splitting into two pension pillars: a flat pension and an earnings-related pension. The government failed to formulate a pension reform, attracting pure marketing. Minister of Labor and Social Affaires assumed the initiative, declaring to realize a “fair” pension reform. Her plan includes a separate flat/basic old-age pension at the level of 28% of NAE. Fair amount/bonus shall be introduced for each child raised (for one parent). Another fair bonus shall be generated to all participants with more than 35 years of insurance. The Prime Minister responded with the OECD pension review. This Review confirmed the 2 tiers but not e.g., the “fair” bonuses. A key recommendation is to strengthen the role of the funded system in the overall pension system, in the neo-liberal style. We compare the mentioned pension reform plans with typical welfare regimes, and we present a simple solution for Czechia.</w:t>
      </w:r>
    </w:p>
    <w:p w14:paraId="7B61E830" w14:textId="77777777" w:rsidR="009F3EA7" w:rsidRDefault="009F3EA7" w:rsidP="009F3EA7">
      <w:pPr>
        <w:pStyle w:val="Abstract"/>
        <w:rPr>
          <w:rStyle w:val="KeywordsJELHeader"/>
        </w:rPr>
      </w:pPr>
    </w:p>
    <w:p w14:paraId="2BBBC93F" w14:textId="578A9ACF" w:rsidR="00E01DCB" w:rsidRDefault="00E01DCB" w:rsidP="009F3EA7">
      <w:pPr>
        <w:pStyle w:val="Abstract"/>
      </w:pPr>
      <w:r w:rsidRPr="00E01DCB">
        <w:rPr>
          <w:rStyle w:val="KeywordsJELHeader"/>
        </w:rPr>
        <w:t>Keywords:</w:t>
      </w:r>
      <w:r>
        <w:t xml:space="preserve"> </w:t>
      </w:r>
      <w:r w:rsidR="00956CF8" w:rsidRPr="00956CF8">
        <w:t>Czech pension system</w:t>
      </w:r>
      <w:r w:rsidR="00956CF8">
        <w:t>,</w:t>
      </w:r>
      <w:r w:rsidR="00956CF8" w:rsidRPr="00956CF8">
        <w:t xml:space="preserve"> pension reform</w:t>
      </w:r>
      <w:r w:rsidR="00956CF8">
        <w:t>,</w:t>
      </w:r>
      <w:r w:rsidR="00956CF8" w:rsidRPr="00956CF8">
        <w:t xml:space="preserve"> </w:t>
      </w:r>
      <w:r w:rsidR="008A400F">
        <w:t xml:space="preserve">pension pillars, </w:t>
      </w:r>
      <w:r w:rsidR="00956CF8" w:rsidRPr="00956CF8">
        <w:t>welfare regime</w:t>
      </w:r>
      <w:r w:rsidR="008A400F">
        <w:t>s</w:t>
      </w:r>
    </w:p>
    <w:p w14:paraId="2DAB2701" w14:textId="478226C6" w:rsidR="00C56F44" w:rsidRPr="00C56F44" w:rsidRDefault="00E01DCB" w:rsidP="00E723F0">
      <w:pPr>
        <w:pStyle w:val="Classifications"/>
      </w:pPr>
      <w:r>
        <w:rPr>
          <w:rStyle w:val="KeywordsJELHeader"/>
        </w:rPr>
        <w:t xml:space="preserve">JEL Classification: </w:t>
      </w:r>
      <w:r w:rsidR="00956CF8" w:rsidRPr="00956CF8">
        <w:t>H55; J32; G51; P51; I38</w:t>
      </w:r>
    </w:p>
    <w:p w14:paraId="2AF7B2B7" w14:textId="4A2A74D8" w:rsidR="008D70B3" w:rsidRDefault="006C26FD" w:rsidP="005A428E">
      <w:pPr>
        <w:pStyle w:val="Nadpis1"/>
      </w:pPr>
      <w:r>
        <w:t xml:space="preserve">Introduction </w:t>
      </w:r>
    </w:p>
    <w:p w14:paraId="62B05D35" w14:textId="363B8327" w:rsidR="000B2A6B" w:rsidRDefault="000B2A6B" w:rsidP="00185A7A">
      <w:pPr>
        <w:pStyle w:val="Zkladntext"/>
      </w:pPr>
      <w:r w:rsidRPr="000B2A6B">
        <w:t xml:space="preserve">The Czech pension system consists of two pension pillars: public </w:t>
      </w:r>
      <w:r>
        <w:t>“</w:t>
      </w:r>
      <w:r w:rsidRPr="000B2A6B">
        <w:t>pension insurance</w:t>
      </w:r>
      <w:r>
        <w:t>”</w:t>
      </w:r>
      <w:r w:rsidRPr="000B2A6B">
        <w:t xml:space="preserve"> </w:t>
      </w:r>
      <w:r w:rsidR="00375DB6">
        <w:t>(</w:t>
      </w:r>
      <w:r w:rsidR="00EC6523">
        <w:t>first</w:t>
      </w:r>
      <w:r w:rsidR="00375DB6">
        <w:t xml:space="preserve"> pillar) </w:t>
      </w:r>
      <w:r w:rsidRPr="000B2A6B">
        <w:t xml:space="preserve">and private </w:t>
      </w:r>
      <w:r w:rsidR="00375DB6">
        <w:t>“</w:t>
      </w:r>
      <w:r w:rsidRPr="000B2A6B">
        <w:t>supplementary pension savings</w:t>
      </w:r>
      <w:r w:rsidR="00375DB6">
        <w:t>” (</w:t>
      </w:r>
      <w:r w:rsidR="00EC6523">
        <w:t xml:space="preserve">third </w:t>
      </w:r>
      <w:r w:rsidR="00375DB6">
        <w:t>pillar)</w:t>
      </w:r>
      <w:r w:rsidRPr="000B2A6B">
        <w:t xml:space="preserve">. Occupational pensions are de facto prohibited; only soldiers, police and firefighters have special additional schemes funded by the state. In parallel to the </w:t>
      </w:r>
      <w:r w:rsidR="00375DB6">
        <w:t>“</w:t>
      </w:r>
      <w:r w:rsidRPr="000B2A6B">
        <w:t>supplementary pension savings</w:t>
      </w:r>
      <w:r w:rsidR="00375DB6">
        <w:t>”</w:t>
      </w:r>
      <w:r w:rsidRPr="000B2A6B">
        <w:t xml:space="preserve">, there is also the traditional and unit-linked </w:t>
      </w:r>
      <w:r w:rsidR="00375DB6">
        <w:t>“</w:t>
      </w:r>
      <w:r w:rsidRPr="000B2A6B">
        <w:t>private life insurance</w:t>
      </w:r>
      <w:r w:rsidR="00375DB6">
        <w:t>”</w:t>
      </w:r>
      <w:r w:rsidRPr="000B2A6B">
        <w:t xml:space="preserve"> – with state support, which is identical and common to supplementary pension savings only for employer contributions. Investment in housing is becoming increasingly important as a form of old</w:t>
      </w:r>
      <w:r w:rsidR="00375DB6">
        <w:t>-</w:t>
      </w:r>
      <w:r w:rsidRPr="000B2A6B">
        <w:t>age security.</w:t>
      </w:r>
      <w:r>
        <w:t xml:space="preserve"> </w:t>
      </w:r>
    </w:p>
    <w:p w14:paraId="1D76E612" w14:textId="440B18AC" w:rsidR="00375DB6" w:rsidRDefault="00CD50EB" w:rsidP="00375DB6">
      <w:pPr>
        <w:pStyle w:val="Zkladntext"/>
      </w:pPr>
      <w:r>
        <w:t>T</w:t>
      </w:r>
      <w:r w:rsidR="00375DB6" w:rsidRPr="00375DB6">
        <w:t>he Czech Constitutional Court</w:t>
      </w:r>
      <w:r>
        <w:t xml:space="preserve"> (2010)</w:t>
      </w:r>
      <w:r w:rsidR="00375DB6" w:rsidRPr="00375DB6">
        <w:t xml:space="preserve"> concluded that </w:t>
      </w:r>
      <w:r w:rsidR="00375DB6">
        <w:t>“</w:t>
      </w:r>
      <w:r w:rsidR="00375DB6" w:rsidRPr="00375DB6">
        <w:t>whole complex design of the pension system is non-transparent to a degree that it is de facto incomprehensible for its addressees; and for the majority of the insureds the calculated amount of the pension benefit becomes unverifiable</w:t>
      </w:r>
      <w:r w:rsidR="00375DB6">
        <w:t>”</w:t>
      </w:r>
      <w:r w:rsidR="00375DB6" w:rsidRPr="00375DB6">
        <w:t xml:space="preserve">. </w:t>
      </w:r>
      <w:r w:rsidR="001216A4">
        <w:t>The</w:t>
      </w:r>
      <w:r w:rsidR="00375DB6" w:rsidRPr="00375DB6">
        <w:t xml:space="preserve"> </w:t>
      </w:r>
      <w:r w:rsidR="001216A4">
        <w:t>C</w:t>
      </w:r>
      <w:r w:rsidR="00375DB6" w:rsidRPr="00375DB6">
        <w:t xml:space="preserve">ourt declared the provisions of the Pension Insurance Act on bend points </w:t>
      </w:r>
      <w:r w:rsidR="001216A4" w:rsidRPr="00375DB6">
        <w:t xml:space="preserve">and reduction coefficients </w:t>
      </w:r>
      <w:r w:rsidR="00375DB6" w:rsidRPr="00375DB6">
        <w:t>unconstitutional</w:t>
      </w:r>
      <w:r w:rsidR="001216A4">
        <w:t xml:space="preserve"> and </w:t>
      </w:r>
      <w:r w:rsidR="00375DB6" w:rsidRPr="00375DB6">
        <w:t xml:space="preserve">abolished the </w:t>
      </w:r>
      <w:r w:rsidR="001216A4">
        <w:t xml:space="preserve">respective </w:t>
      </w:r>
      <w:r w:rsidR="00375DB6" w:rsidRPr="00375DB6">
        <w:t>section of the Act</w:t>
      </w:r>
      <w:r w:rsidR="001216A4">
        <w:t>.</w:t>
      </w:r>
      <w:r w:rsidR="00375DB6" w:rsidRPr="00375DB6">
        <w:t xml:space="preserve"> </w:t>
      </w:r>
      <w:r w:rsidR="001216A4">
        <w:t>T</w:t>
      </w:r>
      <w:r w:rsidR="00375DB6" w:rsidRPr="00375DB6">
        <w:t xml:space="preserve">he government has reintroduced the first bend point within the so-called small pension reform. Unfortunately, the ‘small pension reform’ (2011) did not increase the transparency and clarity of the pension system. </w:t>
      </w:r>
      <w:r w:rsidR="00303049">
        <w:t>A</w:t>
      </w:r>
      <w:r w:rsidR="00375DB6" w:rsidRPr="00375DB6">
        <w:t xml:space="preserve"> comprehensible system of indexing the percentage amount of pensions</w:t>
      </w:r>
      <w:r w:rsidR="00303049">
        <w:t xml:space="preserve"> is also missing</w:t>
      </w:r>
      <w:r w:rsidR="00375DB6" w:rsidRPr="00375DB6">
        <w:t xml:space="preserve">; after the introduction of parameterization of the basic pension amount, the indexation in the percentage amount of the old-age pension depends on the total room for increasing the average old-age pension, the increase in the basic amount being deducted; so far, no one has even tried to explain the logic of this dependence of the indexation of the percentage-based amount on the valorization of the basic pension amount. </w:t>
      </w:r>
      <w:r w:rsidR="00010ECF" w:rsidRPr="00375DB6">
        <w:t xml:space="preserve">The only comprehensible parameter of the Czech </w:t>
      </w:r>
      <w:r w:rsidR="00010ECF">
        <w:t>“</w:t>
      </w:r>
      <w:r w:rsidR="00010ECF" w:rsidRPr="00375DB6">
        <w:t>pension insurance</w:t>
      </w:r>
      <w:r w:rsidR="00010ECF">
        <w:t>”</w:t>
      </w:r>
      <w:r w:rsidR="00010ECF" w:rsidRPr="00375DB6">
        <w:t xml:space="preserve"> has been the basic pensionable age, which is differentiated for women according to the number of children raised (a remnant of the timid Communist pension policy).</w:t>
      </w:r>
      <w:r w:rsidR="00FE50F2">
        <w:t xml:space="preserve"> </w:t>
      </w:r>
    </w:p>
    <w:p w14:paraId="213FAD4C" w14:textId="4D6026DA" w:rsidR="00690128" w:rsidRDefault="00690128" w:rsidP="00690128">
      <w:pPr>
        <w:pStyle w:val="Nadpis1"/>
      </w:pPr>
      <w:r>
        <w:t xml:space="preserve">Fair Pension </w:t>
      </w:r>
      <w:r w:rsidR="009D531D">
        <w:t xml:space="preserve">Reform </w:t>
      </w:r>
      <w:r>
        <w:t>Plan</w:t>
      </w:r>
    </w:p>
    <w:p w14:paraId="146B763E" w14:textId="2EE67FAD" w:rsidR="00F615B0" w:rsidRDefault="00FE50F2" w:rsidP="00FE50F2">
      <w:pPr>
        <w:pStyle w:val="Zkladntext"/>
      </w:pPr>
      <w:r>
        <w:t>In 2018 the new Czech government made a relatively general commitment to a pension reform: the universal old-age security ought to be defined, the equivalence principle strengthened, and people should be motivated to use the subsidized individual old-age products</w:t>
      </w:r>
      <w:r w:rsidR="00345B98">
        <w:t xml:space="preserve"> (Babiš et al</w:t>
      </w:r>
      <w:r>
        <w:t>.</w:t>
      </w:r>
      <w:r w:rsidR="00345B98">
        <w:t xml:space="preserve">, 2018). </w:t>
      </w:r>
      <w:r w:rsidR="003B3056">
        <w:t xml:space="preserve">The pension reform proposal ought to be elaborated by a “professional working team”. Instead of the governmental pension commission the Minister of </w:t>
      </w:r>
      <w:r w:rsidR="007146A1">
        <w:t>labor</w:t>
      </w:r>
      <w:r w:rsidR="003B3056">
        <w:t xml:space="preserve"> and social </w:t>
      </w:r>
      <w:r w:rsidR="007146A1">
        <w:t>affairs</w:t>
      </w:r>
      <w:r w:rsidR="003B3056">
        <w:t xml:space="preserve"> </w:t>
      </w:r>
      <w:proofErr w:type="spellStart"/>
      <w:r w:rsidR="003B3056">
        <w:t>Maláčová</w:t>
      </w:r>
      <w:proofErr w:type="spellEnd"/>
      <w:r w:rsidR="003B3056">
        <w:t xml:space="preserve"> established a separated “Fair Pension Commission”, as her consulting body</w:t>
      </w:r>
      <w:r w:rsidR="005F013B">
        <w:t>,</w:t>
      </w:r>
      <w:r w:rsidR="003B3056">
        <w:t xml:space="preserve"> with more than 40 members. </w:t>
      </w:r>
      <w:r w:rsidR="00D51888">
        <w:t xml:space="preserve">The Fair Pension Plan is the result of the work of this Ministry. </w:t>
      </w:r>
      <w:r w:rsidR="00F615B0">
        <w:t xml:space="preserve">Its first version was published in </w:t>
      </w:r>
      <w:r w:rsidR="00DF5E8D">
        <w:t xml:space="preserve">January </w:t>
      </w:r>
      <w:r w:rsidR="00F615B0">
        <w:t xml:space="preserve">2020 and the second version in May 2021, shortly before the general elections. </w:t>
      </w:r>
    </w:p>
    <w:p w14:paraId="169166E2" w14:textId="1732C252" w:rsidR="00F812C0" w:rsidRDefault="00F615B0" w:rsidP="00F812C0">
      <w:pPr>
        <w:pStyle w:val="Zkladntext"/>
      </w:pPr>
      <w:r>
        <w:t xml:space="preserve"> </w:t>
      </w:r>
      <w:r w:rsidR="003B3056">
        <w:t xml:space="preserve"> </w:t>
      </w:r>
      <w:r w:rsidR="00FE50F2">
        <w:t xml:space="preserve"> </w:t>
      </w:r>
      <w:r w:rsidR="00477741">
        <w:t xml:space="preserve">The Fair Pension Plan introduces 2 pension pillars, instead of the hitherto </w:t>
      </w:r>
      <w:r w:rsidR="00914D73">
        <w:t>single pillar</w:t>
      </w:r>
      <w:r w:rsidR="00477741">
        <w:t xml:space="preserve"> “pension insurance”, as recommended by more analysts in the previous decade. </w:t>
      </w:r>
      <w:r w:rsidR="00914D73">
        <w:t xml:space="preserve">In its first version, the basic component of the old-age pension </w:t>
      </w:r>
      <w:r w:rsidR="00477741">
        <w:t xml:space="preserve">of 10% of the </w:t>
      </w:r>
      <w:r w:rsidR="00914D73">
        <w:t xml:space="preserve">national </w:t>
      </w:r>
      <w:r w:rsidR="00477741">
        <w:t xml:space="preserve">average wage </w:t>
      </w:r>
      <w:r w:rsidR="00914D73">
        <w:t xml:space="preserve">(NAE) triples to 30% of NAE, to </w:t>
      </w:r>
      <w:r w:rsidR="00477741">
        <w:t>better reflect the minimum cost of living of pensioners.</w:t>
      </w:r>
      <w:r w:rsidR="00914D73">
        <w:t xml:space="preserve"> The bend point</w:t>
      </w:r>
      <w:r w:rsidR="00F812C0">
        <w:t xml:space="preserve"> and the respective reduction coefficient (26%) are abolished by disappearing in the new lower percentage component (first pension pillar</w:t>
      </w:r>
      <w:r w:rsidR="005E776A">
        <w:t xml:space="preserve"> in the World Bank typology)</w:t>
      </w:r>
      <w:r w:rsidR="00F812C0">
        <w:t xml:space="preserve">): the accrual </w:t>
      </w:r>
      <w:r w:rsidR="00F812C0">
        <w:lastRenderedPageBreak/>
        <w:t>rate is simplified and set at 0.39%</w:t>
      </w:r>
      <w:r w:rsidR="00D86645">
        <w:t xml:space="preserve"> per year</w:t>
      </w:r>
      <w:r w:rsidR="00F812C0">
        <w:t>. The new coefficient of 0.39% is equivalent to the current effective (marginal) accrual rate between the two current thresholds: the current accrual rate is 1.5% on 26% of earnings (1.5%</w:t>
      </w:r>
      <w:r w:rsidR="007D1B07">
        <w:t xml:space="preserve"> </w:t>
      </w:r>
      <w:r w:rsidR="00F812C0">
        <w:t>*</w:t>
      </w:r>
      <w:r w:rsidR="007D1B07">
        <w:t xml:space="preserve"> </w:t>
      </w:r>
      <w:r w:rsidR="00F812C0">
        <w:t>26% =</w:t>
      </w:r>
      <w:r w:rsidR="007D1B07">
        <w:t xml:space="preserve"> </w:t>
      </w:r>
      <w:r w:rsidR="00F812C0">
        <w:t>0.39%).</w:t>
      </w:r>
      <w:r w:rsidR="006E6FDC">
        <w:t xml:space="preserve"> </w:t>
      </w:r>
      <w:r w:rsidR="00E07020">
        <w:t xml:space="preserve">The pension plan illustrates the amounts of monthly first-pillar pensions using the coefficient 0.0325%, which is 0.39% divided by 12 (months).    </w:t>
      </w:r>
    </w:p>
    <w:p w14:paraId="14D0AFA4" w14:textId="25D7CC1E" w:rsidR="00421B20" w:rsidRDefault="006E6FDC" w:rsidP="008A1940">
      <w:pPr>
        <w:pStyle w:val="Zkladntext"/>
      </w:pPr>
      <w:r>
        <w:t xml:space="preserve">The size of new </w:t>
      </w:r>
      <w:r w:rsidR="00125C0E">
        <w:t xml:space="preserve">(fair) </w:t>
      </w:r>
      <w:r>
        <w:t>basic old-age pension (</w:t>
      </w:r>
      <w:r w:rsidR="006A422A">
        <w:t xml:space="preserve">WB </w:t>
      </w:r>
      <w:r>
        <w:t xml:space="preserve">zero pillar) was not computed from the </w:t>
      </w:r>
      <w:r w:rsidR="00476DF2">
        <w:t>existing</w:t>
      </w:r>
      <w:r>
        <w:t xml:space="preserve"> parameters</w:t>
      </w:r>
      <w:r w:rsidR="00510880">
        <w:t xml:space="preserve"> but derived </w:t>
      </w:r>
      <w:r w:rsidR="00D32582">
        <w:t xml:space="preserve">basically </w:t>
      </w:r>
      <w:r w:rsidR="00510880">
        <w:t xml:space="preserve">from the </w:t>
      </w:r>
      <w:r w:rsidR="00421B20">
        <w:t>at</w:t>
      </w:r>
      <w:r w:rsidR="00D32582">
        <w:t>-</w:t>
      </w:r>
      <w:r w:rsidR="00421B20">
        <w:t>risk</w:t>
      </w:r>
      <w:r w:rsidR="00D32582">
        <w:t>-of-poverty thresholds</w:t>
      </w:r>
      <w:r w:rsidR="00E27E91" w:rsidRPr="00E27E91">
        <w:t xml:space="preserve"> </w:t>
      </w:r>
      <w:r w:rsidR="00E27E91">
        <w:t>(minimum cost of living of pensioners)</w:t>
      </w:r>
      <w:r w:rsidR="00421B20">
        <w:t xml:space="preserve"> – see Figure 1.</w:t>
      </w:r>
      <w:r w:rsidR="00E27E91">
        <w:t xml:space="preserve"> The basic old-age pension/component is to be indexed to wages as is currently the case,</w:t>
      </w:r>
      <w:r w:rsidR="00E27E91" w:rsidRPr="00E27E91">
        <w:t xml:space="preserve"> </w:t>
      </w:r>
      <w:r w:rsidR="00E27E91">
        <w:t>while the earnings-related component should be indexed in payment with prices only. The reasons for this different indexation approaches were not explained, we may only</w:t>
      </w:r>
      <w:r w:rsidR="008A1940">
        <w:t xml:space="preserve"> guess that the zero-pillar indexation was derived from logic of the fair minimum pension (at-risk-of poverty threshold) and that the same approach to the first-pillar indexation seemed to be unaffordable. </w:t>
      </w:r>
      <w:r w:rsidR="00AB3965">
        <w:t xml:space="preserve">These indexation rules are likely to increase the role played by the basic component as retirees age. </w:t>
      </w:r>
      <w:r w:rsidR="008A1940">
        <w:t xml:space="preserve">  </w:t>
      </w:r>
    </w:p>
    <w:p w14:paraId="3FCFE941" w14:textId="20671350" w:rsidR="00421B20" w:rsidRDefault="00421B20" w:rsidP="00421B20">
      <w:pPr>
        <w:pStyle w:val="Titulek"/>
        <w:keepNext/>
      </w:pPr>
      <w:r>
        <w:t xml:space="preserve">Figure </w:t>
      </w:r>
      <w:r>
        <w:fldChar w:fldCharType="begin"/>
      </w:r>
      <w:r>
        <w:instrText xml:space="preserve"> SEQ Figure \* ARABIC </w:instrText>
      </w:r>
      <w:r>
        <w:fldChar w:fldCharType="separate"/>
      </w:r>
      <w:r w:rsidR="0022305F">
        <w:rPr>
          <w:noProof/>
        </w:rPr>
        <w:t>1</w:t>
      </w:r>
      <w:r>
        <w:fldChar w:fldCharType="end"/>
      </w:r>
      <w:r>
        <w:t xml:space="preserve">: </w:t>
      </w:r>
      <w:r w:rsidR="00D32582">
        <w:t xml:space="preserve">Basic old-age pension in the </w:t>
      </w:r>
      <w:r w:rsidR="00211A9C">
        <w:t xml:space="preserve">2020 </w:t>
      </w:r>
      <w:r w:rsidR="00D32582">
        <w:t>Fair Pension Plan</w:t>
      </w:r>
    </w:p>
    <w:p w14:paraId="7D54F88B" w14:textId="6EDA9350" w:rsidR="00421B20" w:rsidRDefault="005E7CF3" w:rsidP="005E7CF3">
      <w:pPr>
        <w:pStyle w:val="Zkladntext"/>
      </w:pPr>
      <w:r w:rsidRPr="005E7CF3">
        <w:rPr>
          <w:noProof/>
          <w:szCs w:val="20"/>
        </w:rPr>
        <w:drawing>
          <wp:inline distT="0" distB="0" distL="0" distR="0" wp14:anchorId="52525EF2" wp14:editId="25CFE4BC">
            <wp:extent cx="5408295" cy="2019300"/>
            <wp:effectExtent l="0" t="0" r="1905" b="0"/>
            <wp:docPr id="8" name="Graf 8">
              <a:extLst xmlns:a="http://schemas.openxmlformats.org/drawingml/2006/main">
                <a:ext uri="{FF2B5EF4-FFF2-40B4-BE49-F238E27FC236}">
                  <a16:creationId xmlns:a16="http://schemas.microsoft.com/office/drawing/2014/main" id="{508A77D0-EDAE-4CC5-9417-99504B49D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EF9E90C" w14:textId="0BF39A56" w:rsidR="00FE50F2" w:rsidRDefault="005E7CF3" w:rsidP="005E7CF3">
      <w:pPr>
        <w:pStyle w:val="Zkladntext"/>
        <w:jc w:val="center"/>
      </w:pPr>
      <w:r>
        <w:t xml:space="preserve">Source: </w:t>
      </w:r>
      <w:r w:rsidR="007D1B07">
        <w:t>MPSV (2020).</w:t>
      </w:r>
    </w:p>
    <w:p w14:paraId="02C22D6E" w14:textId="2B60E061" w:rsidR="008A1940" w:rsidRDefault="003F6D45" w:rsidP="00FE50F2">
      <w:pPr>
        <w:pStyle w:val="Zkladntext"/>
      </w:pPr>
      <w:r>
        <w:t xml:space="preserve">The </w:t>
      </w:r>
      <w:r w:rsidR="008F3A54">
        <w:t xml:space="preserve">ministerial </w:t>
      </w:r>
      <w:r>
        <w:t>derivation</w:t>
      </w:r>
      <w:r w:rsidR="008F3A54">
        <w:t xml:space="preserve"> of the size of the new basic old-age pension from the at-risk-of-poverty thresholds is not enough precise. These data are from December </w:t>
      </w:r>
      <w:r w:rsidR="00125C0E">
        <w:t>2018,</w:t>
      </w:r>
      <w:r w:rsidR="008F3A54">
        <w:t xml:space="preserve"> and they ought to be indexed to mid-2020; we get</w:t>
      </w:r>
      <w:r w:rsidR="00790B25">
        <w:t xml:space="preserve"> some 11,043 CZK monthly (instead of 10,500 CZK), which corresponds to 31.7% of NAE (instead of 30%). </w:t>
      </w:r>
    </w:p>
    <w:p w14:paraId="5DFB3BEA" w14:textId="60CBD836" w:rsidR="00001554" w:rsidRDefault="00171D97" w:rsidP="00001554">
      <w:pPr>
        <w:pStyle w:val="Zkladntext"/>
      </w:pPr>
      <w:r>
        <w:t xml:space="preserve">Next to the new mentioned </w:t>
      </w:r>
      <w:r w:rsidR="00001554">
        <w:t xml:space="preserve">general </w:t>
      </w:r>
      <w:r>
        <w:t xml:space="preserve">percentage component of the old-age pension there are 2 further </w:t>
      </w:r>
      <w:r w:rsidR="00001554">
        <w:t xml:space="preserve">special </w:t>
      </w:r>
      <w:r>
        <w:t>fair</w:t>
      </w:r>
      <w:r w:rsidR="00001554">
        <w:t xml:space="preserve"> components of this pension: </w:t>
      </w:r>
    </w:p>
    <w:p w14:paraId="0A3669BC" w14:textId="173A3421" w:rsidR="00001554" w:rsidRDefault="00F1625A" w:rsidP="00001554">
      <w:pPr>
        <w:pStyle w:val="Seznamsodrkami"/>
      </w:pPr>
      <w:r>
        <w:t>240 CZK monthly as an additional pension for participants with a career longer than 41 years</w:t>
      </w:r>
      <w:r w:rsidR="00697DED">
        <w:t xml:space="preserve">, for each year of insurance above 41 years; this bonus is justified by the </w:t>
      </w:r>
      <w:r w:rsidR="00322172">
        <w:t>technical parameters used in the separation of the 2 pension pillars (Comment: it</w:t>
      </w:r>
      <w:r w:rsidR="00EC6AF3">
        <w:t xml:space="preserve"> i</w:t>
      </w:r>
      <w:r w:rsidR="00322172">
        <w:t xml:space="preserve">s </w:t>
      </w:r>
      <w:r w:rsidR="00EC6AF3">
        <w:t xml:space="preserve">basically </w:t>
      </w:r>
      <w:r w:rsidR="00322172">
        <w:t xml:space="preserve">due to “low” size of the basic pension.), </w:t>
      </w:r>
    </w:p>
    <w:p w14:paraId="0B79A75E" w14:textId="71CD1003" w:rsidR="00322172" w:rsidRDefault="0075749C" w:rsidP="00001554">
      <w:pPr>
        <w:pStyle w:val="Seznamsodrkami"/>
      </w:pPr>
      <w:r>
        <w:t xml:space="preserve">500 CZK monthly </w:t>
      </w:r>
      <w:r w:rsidR="00E52812">
        <w:t xml:space="preserve">per child </w:t>
      </w:r>
      <w:r>
        <w:t>as an additional childcare bonus for one parent</w:t>
      </w:r>
      <w:r w:rsidR="00E52812">
        <w:t>, next to the validation of periods of childcare up to four years of age, also for retirees; this bonus is justified by the lower female (</w:t>
      </w:r>
      <w:r w:rsidR="005D1796">
        <w:t>paid out</w:t>
      </w:r>
      <w:r w:rsidR="00E52812">
        <w:t xml:space="preserve">) pensions.  </w:t>
      </w:r>
    </w:p>
    <w:p w14:paraId="678F8C56" w14:textId="69C4A993" w:rsidR="00F96A4C" w:rsidRDefault="00F96A4C" w:rsidP="00001554">
      <w:pPr>
        <w:pStyle w:val="Zkladntext"/>
      </w:pPr>
      <w:r>
        <w:t xml:space="preserve">The overall immediate effect of the </w:t>
      </w:r>
      <w:r w:rsidR="005E6C60">
        <w:t>f</w:t>
      </w:r>
      <w:r>
        <w:t xml:space="preserve">air </w:t>
      </w:r>
      <w:r w:rsidR="005E6C60">
        <w:t>p</w:t>
      </w:r>
      <w:r>
        <w:t xml:space="preserve">ension </w:t>
      </w:r>
      <w:r w:rsidR="005E6C60">
        <w:t>r</w:t>
      </w:r>
      <w:r>
        <w:t xml:space="preserve">eform on the retiree incomes ought to positive – see Figure 2.   </w:t>
      </w:r>
    </w:p>
    <w:p w14:paraId="5FADB056" w14:textId="309F39A3" w:rsidR="00191090" w:rsidRDefault="00191090" w:rsidP="00191090">
      <w:pPr>
        <w:pStyle w:val="Titulek"/>
        <w:keepNext/>
      </w:pPr>
      <w:r>
        <w:t xml:space="preserve">Figure 2: </w:t>
      </w:r>
      <w:r w:rsidR="005E6C60">
        <w:t>Old-age pension increases</w:t>
      </w:r>
      <w:r w:rsidR="0087410D">
        <w:t xml:space="preserve"> now and</w:t>
      </w:r>
      <w:r w:rsidR="005E6C60">
        <w:t xml:space="preserve"> just after the Fair pension reform in 10 income deciles (% of </w:t>
      </w:r>
      <w:r w:rsidR="0087410D">
        <w:t xml:space="preserve">the </w:t>
      </w:r>
      <w:r w:rsidR="006A422A">
        <w:t xml:space="preserve">respective </w:t>
      </w:r>
      <w:r w:rsidR="0087410D">
        <w:t>assessment base</w:t>
      </w:r>
      <w:r w:rsidR="005E6C60">
        <w:t xml:space="preserve">) </w:t>
      </w:r>
      <w:r w:rsidRPr="00191090">
        <w:rPr>
          <w:noProof/>
        </w:rPr>
        <w:t xml:space="preserve"> </w:t>
      </w:r>
      <w:r w:rsidRPr="00191090">
        <w:rPr>
          <w:noProof/>
        </w:rPr>
        <w:drawing>
          <wp:inline distT="0" distB="0" distL="0" distR="0" wp14:anchorId="73A0C3F0" wp14:editId="1B966080">
            <wp:extent cx="5095875" cy="168592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875" cy="1685925"/>
                    </a:xfrm>
                    <a:prstGeom prst="rect">
                      <a:avLst/>
                    </a:prstGeom>
                    <a:noFill/>
                    <a:ln>
                      <a:noFill/>
                    </a:ln>
                  </pic:spPr>
                </pic:pic>
              </a:graphicData>
            </a:graphic>
          </wp:inline>
        </w:drawing>
      </w:r>
    </w:p>
    <w:p w14:paraId="297F4932" w14:textId="77777777" w:rsidR="00191090" w:rsidRDefault="00191090" w:rsidP="00191090">
      <w:pPr>
        <w:pStyle w:val="Zkladntext"/>
        <w:jc w:val="center"/>
      </w:pPr>
      <w:r>
        <w:t>Source: MPSV (2020).</w:t>
      </w:r>
    </w:p>
    <w:p w14:paraId="46B00FEE" w14:textId="77777777" w:rsidR="00F96A4C" w:rsidRDefault="00F96A4C" w:rsidP="00F96A4C">
      <w:pPr>
        <w:pStyle w:val="Zkladntext"/>
      </w:pPr>
      <w:r>
        <w:lastRenderedPageBreak/>
        <w:t xml:space="preserve">The second version of the Fair Pension Plan (MPSV, 2021) has brought several important parametric changes. The new fair basic old-age pension has been lowered do 28% of NAE. There is no more reference to the at-risk-of-poverty thresholds. The explanation refers to the “dignified” pension needed for persons that had acquired the sufficient length of insured period. In the first year of force (2023) this benefit might amount thus to some 10,104 CZK monthly. </w:t>
      </w:r>
    </w:p>
    <w:p w14:paraId="6B5FEC22" w14:textId="77777777" w:rsidR="00F96A4C" w:rsidRDefault="00F96A4C" w:rsidP="00F96A4C">
      <w:pPr>
        <w:pStyle w:val="Zkladntext"/>
      </w:pPr>
      <w:r>
        <w:t xml:space="preserve">Contrary to the lowering of fair basic old-age pension, the Ministry has basically increased the bonus for a longer insurance period; the bonus rate itself has decreased from 240 CZK to 0.5% of NAE but the minimum number of needed career years has decreased from 41 to 35. The outcome in a typical case of 45 years “done” is: 10 * 0.5% NAE = 1,772 CZK. The former fair scheme gets in this case 240 * 4 = 960 CZK monthly. The logic (necessity) of this bonus has not been explained (again). </w:t>
      </w:r>
    </w:p>
    <w:p w14:paraId="59F2C9EA" w14:textId="77777777" w:rsidR="00F96A4C" w:rsidRDefault="00F96A4C" w:rsidP="00F96A4C">
      <w:pPr>
        <w:pStyle w:val="Zkladntext"/>
      </w:pPr>
      <w:r>
        <w:t xml:space="preserve">Another innovation is a reduction of the minimum years of required coverage (work and non-work validated periods) to be eligible to an old-age pension at retirement age: from 35 to 25 years. The Ministry refers here to the recommendation of the OECD Review. (See later.) </w:t>
      </w:r>
    </w:p>
    <w:p w14:paraId="5238EFB2" w14:textId="77777777" w:rsidR="00F96A4C" w:rsidRDefault="00F96A4C" w:rsidP="00F96A4C">
      <w:pPr>
        <w:pStyle w:val="Zkladntext"/>
      </w:pPr>
      <w:r>
        <w:t xml:space="preserve">An improvement are several adjustments in the calculation of the reference wage in case of the so-called non-contributed periods. It refers mainly to the periods of childcare (up to 4 years of age), this period shall no longer reduce the average reference wage used for the calculation of the pension. It is done on the recommendation of the OECD Review to “remove the double penalty related to the impact of non-validated periods on pension benefits”. An example presented by the Ministry: the reference wage of a mother increases from 34,274 to 35,415 CZK monthly. </w:t>
      </w:r>
    </w:p>
    <w:p w14:paraId="1A57E3C4" w14:textId="6E699A4E" w:rsidR="00F76B49" w:rsidRDefault="00CA51A9" w:rsidP="00CA51A9">
      <w:pPr>
        <w:pStyle w:val="Zkladntext"/>
      </w:pPr>
      <w:r>
        <w:t xml:space="preserve">The fair pension bill modifies </w:t>
      </w:r>
      <w:r w:rsidR="00D30255">
        <w:t xml:space="preserve">the calculation of survivor pensions: to avoid a negative effect of the reform of old-age pensions on the survivor pensions. </w:t>
      </w:r>
      <w:r w:rsidR="0028463C">
        <w:t>The disability pensions are not to be reformed at all.</w:t>
      </w:r>
    </w:p>
    <w:p w14:paraId="4A1D57FA" w14:textId="41EE1725" w:rsidR="00CA51A9" w:rsidRDefault="00F76B49" w:rsidP="00CA51A9">
      <w:pPr>
        <w:pStyle w:val="Zkladntext"/>
      </w:pPr>
      <w:r>
        <w:t>Not surprisingly, the government has not debated the submitted Fair Pension Plan.</w:t>
      </w:r>
      <w:r w:rsidR="00CA51A9">
        <w:t xml:space="preserve"> </w:t>
      </w:r>
    </w:p>
    <w:p w14:paraId="35A03A71" w14:textId="7ACF10AB" w:rsidR="00CA51A9" w:rsidRPr="00F76B49" w:rsidRDefault="00F76B49" w:rsidP="00F76B49">
      <w:pPr>
        <w:pStyle w:val="Nadpis1"/>
      </w:pPr>
      <w:r>
        <w:t>OECD Pension Review</w:t>
      </w:r>
    </w:p>
    <w:p w14:paraId="0CF5BC38" w14:textId="337B1407" w:rsidR="00EC6AF3" w:rsidRPr="0054592E" w:rsidRDefault="0054592E" w:rsidP="0054592E">
      <w:pPr>
        <w:pStyle w:val="Zkladntext"/>
      </w:pPr>
      <w:r w:rsidRPr="0054592E">
        <w:t>OECD (2020) provides an assessment of the Czech “retirement income provision from an international perspective and focuses on the capacity of the pension system to deliver adequate retirement income in a financially sustainable way. The review highlights OECD best practices for the design of pensions by covering all components of pension systems: safety nets, public pay-as-you-go schemes and private funded plans”.</w:t>
      </w:r>
    </w:p>
    <w:p w14:paraId="53A4EFCE" w14:textId="614FF228" w:rsidR="007B764C" w:rsidRPr="007B764C" w:rsidRDefault="007B764C" w:rsidP="0098260C">
      <w:pPr>
        <w:pStyle w:val="Zkladntext"/>
      </w:pPr>
      <w:r w:rsidRPr="007B764C">
        <w:t>According to the OECD, Czechia is “an outlier with the longest period to be eligible for earnings-related pensions … On average among OECD countries, it is equal to nine years. In many countries, it is less than one year” (OECD, 2020). Fig</w:t>
      </w:r>
      <w:r w:rsidR="0098260C">
        <w:t>ure</w:t>
      </w:r>
      <w:r w:rsidRPr="007B764C">
        <w:t xml:space="preserve"> </w:t>
      </w:r>
      <w:r w:rsidR="00572367">
        <w:t>3</w:t>
      </w:r>
      <w:r w:rsidRPr="007B764C">
        <w:t xml:space="preserve"> demonstrates this (alleged) extremeness. The OECD key recommendation No. 1 is “drastically reduce the minimum number of years required to be eligible to both the basic pension and the earnings-related component at the statutory retirement age, and make the basic pension benefit proportional to the validated contribution period; move towards ensuring that the first year of contribution generates entitlements” (OECD, 2020). Afterwards the Ministry of Labor and Social Affairs reduced the basic number of years required to be eligible to the old-age pension from 35 to 25 years in its pension reform proposal. </w:t>
      </w:r>
    </w:p>
    <w:p w14:paraId="44D072B3" w14:textId="48B33003" w:rsidR="007B764C" w:rsidRPr="007B764C" w:rsidRDefault="007B764C" w:rsidP="007B764C">
      <w:pPr>
        <w:pStyle w:val="Titulek"/>
        <w:keepNext/>
      </w:pPr>
      <w:r>
        <w:t xml:space="preserve">Figure 3: </w:t>
      </w:r>
      <w:r w:rsidRPr="007B764C">
        <w:t xml:space="preserve">The minimum years of coverage required is extremely high in Czechia </w:t>
      </w:r>
    </w:p>
    <w:p w14:paraId="0BCD210F" w14:textId="77777777" w:rsidR="007B764C" w:rsidRPr="00912CD6" w:rsidRDefault="007B764C" w:rsidP="007B764C">
      <w:pPr>
        <w:jc w:val="both"/>
        <w:rPr>
          <w:sz w:val="24"/>
          <w:lang w:val="en-GB"/>
        </w:rPr>
      </w:pPr>
      <w:r w:rsidRPr="005361B8">
        <w:rPr>
          <w:noProof/>
          <w:sz w:val="24"/>
        </w:rPr>
        <w:drawing>
          <wp:inline distT="0" distB="0" distL="0" distR="0" wp14:anchorId="4C90B983" wp14:editId="6729B61F">
            <wp:extent cx="5760720" cy="1924050"/>
            <wp:effectExtent l="0" t="0" r="0" b="0"/>
            <wp:docPr id="5" name="Obrázek 5" descr="Obsah obrázku text&#10;&#10;Popis byl vytvořen automaticky">
              <a:extLst xmlns:a="http://schemas.openxmlformats.org/drawingml/2006/main">
                <a:ext uri="{FF2B5EF4-FFF2-40B4-BE49-F238E27FC236}">
                  <a16:creationId xmlns:a16="http://schemas.microsoft.com/office/drawing/2014/main" id="{2F5B03F1-C080-4F2E-AB17-847E24D2A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a:extLst>
                        <a:ext uri="{FF2B5EF4-FFF2-40B4-BE49-F238E27FC236}">
                          <a16:creationId xmlns:a16="http://schemas.microsoft.com/office/drawing/2014/main" id="{2F5B03F1-C080-4F2E-AB17-847E24D2AABE}"/>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7721" b="6329"/>
                    <a:stretch/>
                  </pic:blipFill>
                  <pic:spPr>
                    <a:xfrm>
                      <a:off x="0" y="0"/>
                      <a:ext cx="5760720" cy="1924050"/>
                    </a:xfrm>
                    <a:prstGeom prst="rect">
                      <a:avLst/>
                    </a:prstGeom>
                  </pic:spPr>
                </pic:pic>
              </a:graphicData>
            </a:graphic>
          </wp:inline>
        </w:drawing>
      </w:r>
      <w:r w:rsidRPr="00912CD6">
        <w:rPr>
          <w:sz w:val="24"/>
          <w:lang w:val="en-GB"/>
        </w:rPr>
        <w:t xml:space="preserve"> </w:t>
      </w:r>
    </w:p>
    <w:p w14:paraId="577A02BB" w14:textId="0CA97CBC" w:rsidR="007B764C" w:rsidRDefault="007B764C" w:rsidP="007B764C">
      <w:pPr>
        <w:jc w:val="center"/>
        <w:rPr>
          <w:sz w:val="24"/>
          <w:lang w:val="en-GB"/>
        </w:rPr>
      </w:pPr>
      <w:r>
        <w:rPr>
          <w:rFonts w:eastAsia="Calibri"/>
          <w:szCs w:val="20"/>
          <w:lang w:val="en-GB"/>
        </w:rPr>
        <w:t xml:space="preserve">Source: OECD (2020) </w:t>
      </w:r>
    </w:p>
    <w:p w14:paraId="6F61B672" w14:textId="59EC0557" w:rsidR="00572367" w:rsidRPr="00572367" w:rsidRDefault="00572367" w:rsidP="00572367">
      <w:pPr>
        <w:pStyle w:val="Zkladntext"/>
      </w:pPr>
      <w:r w:rsidRPr="00572367">
        <w:t>The data in our Fig</w:t>
      </w:r>
      <w:r w:rsidR="0098260C">
        <w:t>ure</w:t>
      </w:r>
      <w:r w:rsidRPr="00572367">
        <w:t xml:space="preserve"> </w:t>
      </w:r>
      <w:r>
        <w:t>3</w:t>
      </w:r>
      <w:r w:rsidRPr="00572367">
        <w:t xml:space="preserve"> generate a great misunderstanding: in standard cases the elderly have more than 35 validated years at the statutory retirement age – in this sense there is no need to realize the OECD key recommendation No. 1; another question is if (and how) these “components” are to be proportionally reduced in extreme/rare cases with less than 30-35 validated years. Also, we should differentiate between the (future) basic/flat pension and the earnings-related pension. UK data (10 years) represent a partial truth only: the elderly </w:t>
      </w:r>
      <w:r w:rsidRPr="00572367">
        <w:lastRenderedPageBreak/>
        <w:t xml:space="preserve">get full basic pension after 35 years of (paid) national insurance contributions; we might follow them. The (pure) earnings-related pension should have a quite different design e.g., according to the OECD recommendation. </w:t>
      </w:r>
    </w:p>
    <w:p w14:paraId="691CF3B3" w14:textId="77777777" w:rsidR="007B73AA" w:rsidRPr="006778A2" w:rsidRDefault="007B73AA" w:rsidP="007B73AA">
      <w:pPr>
        <w:pStyle w:val="Zkladntext"/>
      </w:pPr>
      <w:r w:rsidRPr="007B73AA">
        <w:t xml:space="preserve">The OECD key recommendation No. 2 is to “simplify the benefit formula such that entitlements earned for each contribution period are clearly identified … and people can better anticipate their future pension level. This can be done by calculating earnings-related entitlements using a constant effective accrual rate across earnings levels (up to a ceiling) while adjusting the basic pension benefit to achieve redistributive objectives” (OECD, 2020). “Proposals by the Fair Pension Commission in January 2020 (triple the basic pension level and constant effective accrual rate of 0.39%) would greatly simplify and go a long way in mimicking the current pension formula … at retirement … The Commission proposals imply a high level of basic pension and a low level of accruals in international comparison, consistent with maintaining high progressivity… Other components of the Commission proposals add some new complexity: complex options to grant new pension credits, additional </w:t>
      </w:r>
      <w:r w:rsidRPr="006778A2">
        <w:t>bonuses for childcare and long (more than 41-year) careers” (</w:t>
      </w:r>
      <w:proofErr w:type="spellStart"/>
      <w:r w:rsidRPr="006778A2">
        <w:t>Boulhol</w:t>
      </w:r>
      <w:proofErr w:type="spellEnd"/>
      <w:r w:rsidRPr="006778A2">
        <w:t xml:space="preserve"> and </w:t>
      </w:r>
      <w:proofErr w:type="spellStart"/>
      <w:r w:rsidRPr="006778A2">
        <w:t>Geppert</w:t>
      </w:r>
      <w:proofErr w:type="spellEnd"/>
      <w:r w:rsidRPr="006778A2">
        <w:t xml:space="preserve">, 2020). </w:t>
      </w:r>
      <w:bookmarkStart w:id="0" w:name="_Hlk80441769"/>
    </w:p>
    <w:bookmarkEnd w:id="0"/>
    <w:p w14:paraId="639F1FDC" w14:textId="4D31BCF2" w:rsidR="00FC1794" w:rsidRPr="006778A2" w:rsidRDefault="00FC1794" w:rsidP="00FC1794">
      <w:pPr>
        <w:pStyle w:val="Zkladntext"/>
      </w:pPr>
      <w:r w:rsidRPr="006778A2">
        <w:t xml:space="preserve">Moreover, the OECD concluded that </w:t>
      </w:r>
      <w:r w:rsidR="00953BA5" w:rsidRPr="006778A2">
        <w:t xml:space="preserve">in </w:t>
      </w:r>
      <w:r w:rsidRPr="006778A2">
        <w:t xml:space="preserve">Czechia, </w:t>
      </w:r>
      <w:r w:rsidR="00953BA5" w:rsidRPr="006778A2">
        <w:t>“</w:t>
      </w:r>
      <w:r w:rsidRPr="006778A2">
        <w:t xml:space="preserve">due to generous childcare credits, </w:t>
      </w:r>
      <w:r w:rsidR="00953BA5" w:rsidRPr="006778A2">
        <w:t xml:space="preserve">… </w:t>
      </w:r>
      <w:r w:rsidRPr="006778A2">
        <w:t xml:space="preserve">a </w:t>
      </w:r>
      <w:r w:rsidR="00953BA5" w:rsidRPr="006778A2">
        <w:t>/</w:t>
      </w:r>
      <w:r w:rsidRPr="006778A2">
        <w:t>childcare</w:t>
      </w:r>
      <w:r w:rsidR="00953BA5" w:rsidRPr="006778A2">
        <w:t>/</w:t>
      </w:r>
      <w:r w:rsidRPr="006778A2">
        <w:t xml:space="preserve"> career break has no impact on future pensions whatever the earnings level.</w:t>
      </w:r>
      <w:r w:rsidR="006778A2" w:rsidRPr="006778A2">
        <w:t xml:space="preserve"> </w:t>
      </w:r>
      <w:r w:rsidR="006778A2" w:rsidRPr="00953BA5">
        <w:t>By contrast, this career break generates a loss of 4% on pensions on average across OECD countries for average-wage workers</w:t>
      </w:r>
      <w:r w:rsidR="006778A2" w:rsidRPr="006778A2">
        <w:t>”</w:t>
      </w:r>
      <w:r w:rsidR="006778A2" w:rsidRPr="00953BA5">
        <w:t xml:space="preserve">. </w:t>
      </w:r>
      <w:r w:rsidR="006778A2" w:rsidRPr="006778A2">
        <w:t xml:space="preserve">These are </w:t>
      </w:r>
      <w:r w:rsidR="00953BA5" w:rsidRPr="006778A2">
        <w:t>result</w:t>
      </w:r>
      <w:r w:rsidR="006778A2" w:rsidRPr="006778A2">
        <w:t>s</w:t>
      </w:r>
      <w:r w:rsidR="00953BA5" w:rsidRPr="006778A2">
        <w:t xml:space="preserve"> of the OECD pension model, which “</w:t>
      </w:r>
      <w:r w:rsidR="00953BA5" w:rsidRPr="00953BA5">
        <w:t>compares pension benefits for women who stop working during five years from age 30 to care for their two children</w:t>
      </w:r>
      <w:r w:rsidR="00953BA5" w:rsidRPr="00953BA5">
        <w:rPr>
          <w:lang w:val="cs-CZ"/>
        </w:rPr>
        <w:t xml:space="preserve"> </w:t>
      </w:r>
      <w:r w:rsidR="00953BA5" w:rsidRPr="00953BA5">
        <w:t>born when the mother was aged 30 and 32 (at age 35 they are assumed to resume full-time work until the normal retirement age) compared with the full-career case</w:t>
      </w:r>
      <w:r w:rsidR="00953BA5" w:rsidRPr="006778A2">
        <w:t>” (OECD, 2020)</w:t>
      </w:r>
      <w:r w:rsidR="00953BA5" w:rsidRPr="00953BA5">
        <w:t>.</w:t>
      </w:r>
      <w:r w:rsidRPr="006778A2">
        <w:t xml:space="preserve"> </w:t>
      </w:r>
    </w:p>
    <w:p w14:paraId="16BE0DA5" w14:textId="52AF238E" w:rsidR="007B73AA" w:rsidRPr="007B73AA" w:rsidRDefault="007B73AA" w:rsidP="007B73AA">
      <w:pPr>
        <w:pStyle w:val="Zkladntext"/>
      </w:pPr>
      <w:r w:rsidRPr="007B73AA">
        <w:t xml:space="preserve">Next OECD key recommendations are: Implement the legislated increases in the retirement ages and their convergence between men and women and link the unified retirement age to gains in life expectancy, for example to transmit two-thirds of increases of life expectancy at older ages to the statutory retirement age. Raise the minimum early retirement age and adjust early retirement ages to life expectancy as well. Eliminate age-specific credits for unemployment periods” (OECD, 2020). </w:t>
      </w:r>
    </w:p>
    <w:p w14:paraId="141E30D6" w14:textId="77777777" w:rsidR="007B73AA" w:rsidRPr="007B73AA" w:rsidRDefault="007B73AA" w:rsidP="007B73AA">
      <w:pPr>
        <w:pStyle w:val="Zkladntext"/>
      </w:pPr>
      <w:r w:rsidRPr="007B73AA">
        <w:t xml:space="preserve">The Pension Review also recommends to “raise the contribution base of the self-employed from its current level of 50% to 75% of profits to better </w:t>
      </w:r>
      <w:proofErr w:type="spellStart"/>
      <w:r w:rsidRPr="007B73AA">
        <w:t>harmonise</w:t>
      </w:r>
      <w:proofErr w:type="spellEnd"/>
      <w:r w:rsidRPr="007B73AA">
        <w:t xml:space="preserve"> contributions and entitlements between employees and the self-employed with similar earnings” and to “Avoid encouraging self-employment through lower contributions, which generate lower pension entitlements. If there is a political choice to support self-employment, make any subsidy explicit by financing the contribution gaps compared with employees having similar income through general taxes” (OECD, 2020). </w:t>
      </w:r>
    </w:p>
    <w:p w14:paraId="7010122B" w14:textId="77777777" w:rsidR="007B73AA" w:rsidRPr="007B73AA" w:rsidRDefault="007B73AA" w:rsidP="007B73AA">
      <w:pPr>
        <w:pStyle w:val="Zkladntext"/>
      </w:pPr>
      <w:r w:rsidRPr="007B73AA">
        <w:t xml:space="preserve">The final key recommendation to Czech public pensions is to “Consider shifting part of the financing (of at least some redistributive components) to taxes to boost pensions for people earning more than the average wage” (OECD, 2020). </w:t>
      </w:r>
    </w:p>
    <w:p w14:paraId="7C78F766" w14:textId="1C68ECFD" w:rsidR="007B73AA" w:rsidRPr="007B73AA" w:rsidRDefault="007B73AA" w:rsidP="007B73AA">
      <w:pPr>
        <w:pStyle w:val="Zkladntext"/>
      </w:pPr>
      <w:r w:rsidRPr="007B73AA">
        <w:t xml:space="preserve">Chapter 4 of the OECD review evaluates the Czech voluntary funded pension system against “OECD international best practices”. The Czech “third pension pillar” has large coverage of the population but small contributions, the state provides significant financial incentives. Low performance of the pension funds stems from conservative investment strategies due to the annual non-negative return guarantee – according to the OECD review. Participants mostly withdraw lump sums (instead of regular payments). </w:t>
      </w:r>
    </w:p>
    <w:p w14:paraId="0825B122" w14:textId="77777777" w:rsidR="00572367" w:rsidRPr="00572367" w:rsidRDefault="00572367" w:rsidP="00572367">
      <w:pPr>
        <w:pStyle w:val="Zkladntext"/>
      </w:pPr>
      <w:r w:rsidRPr="00572367">
        <w:t xml:space="preserve">The first key recommendation to the Czech voluntary funded pensions is to strengthen the role of these pensions in the overall pension system by “introducing a new, occupational pension scheme, or by improving the design of the existing supplementary pension schemes… The Czech Republic is the sole OECD country where the funded pension system only consists of a voluntary personal pension scheme. All the other countries have several pension schemes, sometimes combining mandatory and voluntary, </w:t>
      </w:r>
      <w:proofErr w:type="gramStart"/>
      <w:r w:rsidRPr="00572367">
        <w:t>occupational</w:t>
      </w:r>
      <w:proofErr w:type="gramEnd"/>
      <w:r w:rsidRPr="00572367">
        <w:t xml:space="preserve"> and personal plans. This allows pure voluntary personal schemes to have rules that are more lenient with respect to participation, </w:t>
      </w:r>
      <w:proofErr w:type="gramStart"/>
      <w:r w:rsidRPr="00572367">
        <w:t>contributions</w:t>
      </w:r>
      <w:proofErr w:type="gramEnd"/>
      <w:r w:rsidRPr="00572367">
        <w:t xml:space="preserve"> and withdrawals. The Czech Republic lacks this intermediate layer between public pensions and voluntary personal pensions. One option could be to introduce a voluntary occupational pension scheme, where employers could elect to establish a plan for their employees, and employees could choose whether to join that plan. This would help increasing the role of employers in retirement income provision. Alternatively, the Czech authorities could build on the strength of the current supplementary pension scheme and improve it” (OECD, 2020). </w:t>
      </w:r>
    </w:p>
    <w:p w14:paraId="29090E30" w14:textId="5196993C" w:rsidR="00572367" w:rsidRPr="00572367" w:rsidRDefault="00572367" w:rsidP="00572367">
      <w:pPr>
        <w:pStyle w:val="Zkladntext"/>
      </w:pPr>
      <w:r w:rsidRPr="00572367">
        <w:t xml:space="preserve">The OECD experts think that our third pension pillar might play a role </w:t>
      </w:r>
      <w:r w:rsidR="00700AA9" w:rsidRPr="00572367">
        <w:t>like</w:t>
      </w:r>
      <w:r w:rsidRPr="00572367">
        <w:t xml:space="preserve"> the occupational pension pillars in Western countries. To achieve it they formulated these (further) key recommendations: </w:t>
      </w:r>
    </w:p>
    <w:p w14:paraId="5B72210D" w14:textId="684AE6F9" w:rsidR="00572367" w:rsidRPr="00572367" w:rsidRDefault="00572367" w:rsidP="00572367">
      <w:pPr>
        <w:pStyle w:val="Seznamsodrkami"/>
      </w:pPr>
      <w:r w:rsidRPr="00572367">
        <w:t xml:space="preserve">“Improve the performance of pension funds by encouraging or nudging participants to switch to participating funds as they have more flexibility to pursue growth investment strategies because they do not have to provide an annual non-negative return guarantee, and by promoting the access to an appropriate default investment strategy. </w:t>
      </w:r>
    </w:p>
    <w:p w14:paraId="446AD2DA" w14:textId="39CD8EE4" w:rsidR="00572367" w:rsidRPr="00572367" w:rsidRDefault="00572367" w:rsidP="00572367">
      <w:pPr>
        <w:pStyle w:val="Seznamsodrkami"/>
      </w:pPr>
      <w:r w:rsidRPr="00572367">
        <w:t xml:space="preserve">Better align fees charged to participants with the costs incurred by the pension management companies by </w:t>
      </w:r>
      <w:proofErr w:type="spellStart"/>
      <w:r w:rsidRPr="00572367">
        <w:t>analysing</w:t>
      </w:r>
      <w:proofErr w:type="spellEnd"/>
      <w:r w:rsidRPr="00572367">
        <w:t xml:space="preserve"> the cost of investing in different asset classes and applying a regressive scale for management fees to pass on economies of scale to participants as assets under management grow. </w:t>
      </w:r>
    </w:p>
    <w:p w14:paraId="5127DAF2" w14:textId="0A94D4BD" w:rsidR="00572367" w:rsidRPr="00572367" w:rsidRDefault="00572367" w:rsidP="00572367">
      <w:pPr>
        <w:pStyle w:val="Seznamsodrkami"/>
      </w:pPr>
      <w:r w:rsidRPr="00572367">
        <w:lastRenderedPageBreak/>
        <w:t xml:space="preserve">Encourage participants to contribute more by redesigning some elements of state financial incentives, setting up a mechanism where contributions increase automatically up to a pre-set maximum, promoting employer contributions, and providing information about expected benefits from the entire pension system. </w:t>
      </w:r>
    </w:p>
    <w:p w14:paraId="01076962" w14:textId="6B94CE60" w:rsidR="00572367" w:rsidRPr="00572367" w:rsidRDefault="00572367" w:rsidP="00572367">
      <w:pPr>
        <w:pStyle w:val="Seznamsodrkami"/>
      </w:pPr>
      <w:r w:rsidRPr="00572367">
        <w:t xml:space="preserve">Lengthen contribution periods by increasing the minimum saving period to withdraw retirement benefits and keep the state financial incentives. </w:t>
      </w:r>
    </w:p>
    <w:p w14:paraId="1462848F" w14:textId="08A97C93" w:rsidR="00572367" w:rsidRPr="00572367" w:rsidRDefault="00572367" w:rsidP="00572367">
      <w:pPr>
        <w:pStyle w:val="Seznamsodrkami"/>
      </w:pPr>
      <w:r w:rsidRPr="00572367">
        <w:t xml:space="preserve">Consider introducing automatic enrolment into an occupational pension plan or a participating fund, with appropriate default contribution rates and investment strategies. </w:t>
      </w:r>
    </w:p>
    <w:p w14:paraId="3EA02B5A" w14:textId="4A537D4B" w:rsidR="0075749C" w:rsidRPr="00C33ED1" w:rsidRDefault="00572367" w:rsidP="009C0299">
      <w:pPr>
        <w:pStyle w:val="Seznamsodrkami"/>
      </w:pPr>
      <w:r w:rsidRPr="00572367">
        <w:t>Extend the take-up of products providing lifelong retirement income by discouraging the lump sum pay-out option and increasing the attractiveness of life annuities through additional product features (</w:t>
      </w:r>
      <w:proofErr w:type="gramStart"/>
      <w:r w:rsidRPr="00572367">
        <w:t>e.g.</w:t>
      </w:r>
      <w:proofErr w:type="gramEnd"/>
      <w:r w:rsidRPr="00572367">
        <w:t xml:space="preserve"> guaranteed period, survivor option, or profit sharing)” (OECD, 2020). </w:t>
      </w:r>
    </w:p>
    <w:p w14:paraId="1F23653F" w14:textId="7CDE9415" w:rsidR="00C33ED1" w:rsidRPr="00C33ED1" w:rsidRDefault="00C33ED1" w:rsidP="00C33ED1">
      <w:pPr>
        <w:pStyle w:val="Zkladntext"/>
      </w:pPr>
      <w:r w:rsidRPr="00C33ED1">
        <w:t xml:space="preserve">The main purpose of purchasing Czech supplementary pension insurance does not involve individual security in old age. The purpose is to divest excess liquidity and the tax </w:t>
      </w:r>
      <w:r w:rsidR="00E723F0" w:rsidRPr="00C33ED1">
        <w:t>optimization</w:t>
      </w:r>
      <w:r w:rsidRPr="00C33ED1">
        <w:t xml:space="preserve">. The construct of supplementary pension insurance was also of fundamental significance to many participants: it was a simple bank savings product with a high degree of state support in the form of state contributions (originally up to 50%!) with a guaranteed non-negative nominal yield. The fiscal illusion that the state support is free also played a significant role. „…the third pillar is not really a pension scheme. It is akin to a tax-advantaged savings account. The system should not be presented to the public as a source of meaningful future replacement </w:t>
      </w:r>
      <w:proofErr w:type="gramStart"/>
      <w:r w:rsidRPr="00C33ED1">
        <w:t>income“ (</w:t>
      </w:r>
      <w:proofErr w:type="gramEnd"/>
      <w:r w:rsidRPr="00C33ED1">
        <w:t>World Bank, 2017). „Personal pensions have relatively wide take-up in only a few Member States (over 60% coverage in Czechia, over 30% in … Germany) while in most Member States take-up is moderate and fragmented, and in some, nearly non-</w:t>
      </w:r>
      <w:proofErr w:type="gramStart"/>
      <w:r w:rsidRPr="00C33ED1">
        <w:t>existent“ (</w:t>
      </w:r>
      <w:proofErr w:type="gramEnd"/>
      <w:r w:rsidRPr="00C33ED1">
        <w:t xml:space="preserve">EC, 2017). „Pillar 3 (voluntary retirement savings) should not receive …subsidies, which are regressive and also have not been shown to have any significant effect on private </w:t>
      </w:r>
      <w:proofErr w:type="gramStart"/>
      <w:r w:rsidRPr="00C33ED1">
        <w:t>saving“ (</w:t>
      </w:r>
      <w:proofErr w:type="gramEnd"/>
      <w:r w:rsidRPr="00C33ED1">
        <w:t xml:space="preserve">Willmore, 2000). </w:t>
      </w:r>
    </w:p>
    <w:p w14:paraId="2BEFE9F8" w14:textId="0E91DC4F" w:rsidR="00C33ED1" w:rsidRDefault="00C33ED1" w:rsidP="007A2C66">
      <w:pPr>
        <w:pStyle w:val="Zkladntext"/>
      </w:pPr>
      <w:r w:rsidRPr="00C33ED1">
        <w:t xml:space="preserve">The vision of the OECD experts about the need to develop state support for the </w:t>
      </w:r>
      <w:r w:rsidR="00EC6523">
        <w:t xml:space="preserve">third </w:t>
      </w:r>
      <w:r w:rsidRPr="00C33ED1">
        <w:t xml:space="preserve">pension pillar in Czechia was derived from an international comparison of state support for private pension schemes, compiled by the OECD (2018). According to this comparison, Czechia is “only” above average in its fiscal stimulation for the main private pension plans; this is given by the processing method: the OECD study ranked supplementary pension savings paid by participants as the main Czech private pension plan; the calculation presupposes savings at the amount of 5% of the gross wage throughout the entire active life. </w:t>
      </w:r>
      <w:proofErr w:type="gramStart"/>
      <w:r w:rsidRPr="00C33ED1">
        <w:t>In reality, the</w:t>
      </w:r>
      <w:proofErr w:type="gramEnd"/>
      <w:r w:rsidRPr="00C33ED1">
        <w:t xml:space="preserve"> participants’ average saving is at the level of a mere 2.3% of wages which means a state contribution at the amount of 24.3% of the participants’ contributions. As such, the state support for higher contributions on the part of the participants, as modelled by the OECD, is relatively low here. Moreover, a typical Czech client in 2018 had only saved for 8 years; the OECD presupposes the payment of contributions for a period of 45 years. </w:t>
      </w:r>
      <w:r w:rsidR="007A2C66" w:rsidRPr="00716A8C">
        <w:t xml:space="preserve">The OECD calculation is marked as Czechia (OECD) in Figure 4, while the real value of the fiscal stimulation is marked as Czechia (Author): 65.1% of the employer’s contribution – the highest value among all the countries. </w:t>
      </w:r>
      <w:r w:rsidRPr="00C33ED1">
        <w:t xml:space="preserve">Almost all other countries have occupational pensions, which are of considerably greater significance than personal pensions, as their main pension plan; in Czechia, the occupational pensions have merely been “substituted” by the employers’ contributions to the personal pensions. </w:t>
      </w:r>
    </w:p>
    <w:p w14:paraId="0CBD80E5" w14:textId="0BE41F9E" w:rsidR="00716A8C" w:rsidRPr="00716A8C" w:rsidRDefault="00716A8C" w:rsidP="00716A8C">
      <w:pPr>
        <w:pStyle w:val="Titulek"/>
        <w:keepNext/>
      </w:pPr>
      <w:r>
        <w:t xml:space="preserve">Figure 4: </w:t>
      </w:r>
      <w:r w:rsidRPr="00716A8C">
        <w:t xml:space="preserve">Financial incentives </w:t>
      </w:r>
      <w:r>
        <w:t>in</w:t>
      </w:r>
      <w:r w:rsidRPr="00716A8C">
        <w:t xml:space="preserve"> the main private pension plans in 2018: % </w:t>
      </w:r>
      <w:r w:rsidR="005849A6">
        <w:t>from</w:t>
      </w:r>
      <w:r w:rsidRPr="00716A8C">
        <w:t xml:space="preserve"> the pension contributions of an average earner </w:t>
      </w:r>
    </w:p>
    <w:p w14:paraId="251E6617" w14:textId="6285D5C3" w:rsidR="007A2C66" w:rsidRDefault="007A2C66" w:rsidP="009D531D">
      <w:pPr>
        <w:pStyle w:val="Zkladntext"/>
      </w:pPr>
      <w:r w:rsidRPr="004F16C8">
        <w:rPr>
          <w:iCs/>
          <w:noProof/>
          <w:lang w:val="cs-CZ"/>
        </w:rPr>
        <w:drawing>
          <wp:inline distT="0" distB="0" distL="0" distR="0" wp14:anchorId="436693E6" wp14:editId="3E4C4222">
            <wp:extent cx="5334000" cy="2148205"/>
            <wp:effectExtent l="0" t="0" r="0" b="4445"/>
            <wp:docPr id="2"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1B6136" w14:textId="50C72DD5" w:rsidR="00716A8C" w:rsidRPr="00EA5B0A" w:rsidRDefault="00716A8C" w:rsidP="00716A8C">
      <w:pPr>
        <w:pStyle w:val="tlTunKurzvaZa12pt"/>
        <w:spacing w:after="0"/>
        <w:ind w:firstLine="0"/>
        <w:jc w:val="center"/>
        <w:rPr>
          <w:b w:val="0"/>
          <w:bCs w:val="0"/>
          <w:i w:val="0"/>
          <w:iCs w:val="0"/>
          <w:spacing w:val="0"/>
          <w:sz w:val="20"/>
          <w:lang w:val="en-US"/>
        </w:rPr>
      </w:pPr>
      <w:r>
        <w:rPr>
          <w:b w:val="0"/>
          <w:bCs w:val="0"/>
          <w:i w:val="0"/>
          <w:iCs w:val="0"/>
          <w:spacing w:val="0"/>
          <w:sz w:val="20"/>
          <w:lang w:val="en-US"/>
        </w:rPr>
        <w:t xml:space="preserve">Source: OECD (2018), author </w:t>
      </w:r>
    </w:p>
    <w:p w14:paraId="2A1FB199" w14:textId="51C9CF28" w:rsidR="0068485E" w:rsidRDefault="00C33ED1" w:rsidP="009D531D">
      <w:pPr>
        <w:pStyle w:val="Zkladntext"/>
      </w:pPr>
      <w:r w:rsidRPr="00C33ED1">
        <w:t xml:space="preserve">The OECD recommendations for the reform of the </w:t>
      </w:r>
      <w:r w:rsidR="00EC6523">
        <w:t xml:space="preserve">third </w:t>
      </w:r>
      <w:r w:rsidRPr="00C33ED1">
        <w:t xml:space="preserve">pension pillar unilaterally prefer the neo-liberal pension policy which would lead to its transformation into a so-called </w:t>
      </w:r>
      <w:r w:rsidR="00EC6523">
        <w:t>second</w:t>
      </w:r>
      <w:r w:rsidRPr="00C33ED1">
        <w:t xml:space="preserve"> pension pillar according to the World Bank typology. The interest of Czech pension companies in such</w:t>
      </w:r>
      <w:r w:rsidR="007C2ABF">
        <w:t xml:space="preserve"> a</w:t>
      </w:r>
      <w:r w:rsidRPr="00C33ED1">
        <w:t xml:space="preserve"> reform is understandable, but it is at odds </w:t>
      </w:r>
      <w:r w:rsidRPr="00C33ED1">
        <w:lastRenderedPageBreak/>
        <w:t xml:space="preserve">with the standard task of the </w:t>
      </w:r>
      <w:r w:rsidR="00EC6523">
        <w:t xml:space="preserve">third </w:t>
      </w:r>
      <w:r w:rsidRPr="00C33ED1">
        <w:t xml:space="preserve">pension pillar in the OECD countries. The role of any occupational pension funds should be derived from the interests of the trade unions and the employers. There is a certain “pension gap” in Czechia but public policy may also focus on the social-democratic </w:t>
      </w:r>
      <w:r w:rsidR="00403B4E">
        <w:t xml:space="preserve">(welfare regime) </w:t>
      </w:r>
      <w:r w:rsidRPr="00C33ED1">
        <w:t>policy: to strengthen the social pension insurance. Voluntary supplementary pension insurance of this type could also be considered.</w:t>
      </w:r>
      <w:r w:rsidR="0068485E">
        <w:t xml:space="preserve"> </w:t>
      </w:r>
    </w:p>
    <w:p w14:paraId="68A401A8" w14:textId="446A38BB" w:rsidR="00572DA0" w:rsidRDefault="0068485E" w:rsidP="0068485E">
      <w:pPr>
        <w:pStyle w:val="Zkladntext"/>
      </w:pPr>
      <w:r w:rsidRPr="0068485E">
        <w:t>Products such as the new British individual savings account (ISA) or the Canadian tax-free savings account (TFSA) may constitute an optimal solution for the Czech third pension pillar. Their fundamental behavioral trick lies in the fact that the client is limited in the amount of annual or life-long deposits/investments that can be made (for example, up to 60,000 CZK per annum under our conditions), but unlimited regarding the time and amount when making withdrawals from the savings. “The TFSA is a long-term investment vehicle. Its best use is for saving for retirement!” (Kasper, 20</w:t>
      </w:r>
      <w:r w:rsidR="009243E6">
        <w:t>2</w:t>
      </w:r>
      <w:r w:rsidRPr="0068485E">
        <w:t xml:space="preserve">1). These products are subject to the TEE tax regime; it is simple and does not require the agendas of state contributions and tax deductions. Tax-free savings/investment accounts also open an equal business opportunity for all the appropriate financial companies; the superfluous companies fall back. The exemption of any yields from taxation can also be supported by the argument that the interest/appreciation (for people) is low, inflation is around 3% and therefore any tax mainly taxes inflation.  </w:t>
      </w:r>
      <w:r w:rsidR="00C33ED1" w:rsidRPr="00C33ED1">
        <w:t xml:space="preserve"> </w:t>
      </w:r>
    </w:p>
    <w:p w14:paraId="15AF240F" w14:textId="5F169081" w:rsidR="009D531D" w:rsidRDefault="009D531D" w:rsidP="009D531D">
      <w:pPr>
        <w:pStyle w:val="Nadpis1"/>
      </w:pPr>
      <w:r>
        <w:t>Technical Pension Reform Plan</w:t>
      </w:r>
    </w:p>
    <w:p w14:paraId="6431AFC1" w14:textId="382229C3" w:rsidR="00A20059" w:rsidRDefault="00114C40" w:rsidP="00ED76F3">
      <w:pPr>
        <w:pStyle w:val="Zkladntext"/>
      </w:pPr>
      <w:r w:rsidRPr="00114C40">
        <w:t>The OECD Review has confirmed the suitability of dividing the Czech public pension pillar into two tiers. A “technical” pension reform</w:t>
      </w:r>
      <w:r>
        <w:t xml:space="preserve"> should </w:t>
      </w:r>
      <w:r w:rsidRPr="00114C40">
        <w:t>not revis</w:t>
      </w:r>
      <w:r>
        <w:t>e</w:t>
      </w:r>
      <w:r w:rsidRPr="00114C40">
        <w:t xml:space="preserve"> the high progressivity of the public pensions</w:t>
      </w:r>
      <w:r>
        <w:t>, as far as possible. In an average, typi</w:t>
      </w:r>
      <w:r w:rsidR="00ED0CD4">
        <w:t>cal</w:t>
      </w:r>
      <w:r>
        <w:t xml:space="preserve"> case</w:t>
      </w:r>
      <w:r w:rsidR="00802C6C">
        <w:t>,</w:t>
      </w:r>
      <w:r w:rsidR="00ED0CD4">
        <w:t xml:space="preserve"> the amount of the new old-age pension should be the same as up to now. </w:t>
      </w:r>
      <w:r w:rsidR="00DA498C">
        <w:t xml:space="preserve">The only entry </w:t>
      </w:r>
      <w:r w:rsidR="00802C6C">
        <w:t>number</w:t>
      </w:r>
      <w:r w:rsidR="00DA498C">
        <w:t xml:space="preserve"> </w:t>
      </w:r>
      <w:r w:rsidR="00ED0CD4">
        <w:t>for such a reform</w:t>
      </w:r>
      <w:r w:rsidR="00802C6C">
        <w:t>,</w:t>
      </w:r>
      <w:r w:rsidR="00ED0CD4">
        <w:t xml:space="preserve"> </w:t>
      </w:r>
      <w:r w:rsidR="00DA498C">
        <w:t>we need</w:t>
      </w:r>
      <w:r w:rsidR="00802C6C">
        <w:t>,</w:t>
      </w:r>
      <w:r w:rsidR="00DA498C">
        <w:t xml:space="preserve"> is the length of the career: we may insert 45 years (for the retiree in 2023). The pension</w:t>
      </w:r>
      <w:r w:rsidR="004C2B75">
        <w:t xml:space="preserve"> with this career is the same, also in relation to the NAE, in the interval from the hitherto bend point. We have computed </w:t>
      </w:r>
      <w:r w:rsidR="00802C6C">
        <w:t xml:space="preserve">(reversely) </w:t>
      </w:r>
      <w:r w:rsidR="004C2B75">
        <w:t xml:space="preserve">the data below this point, and we have got the size of the new </w:t>
      </w:r>
      <w:r w:rsidR="00A20059">
        <w:t>basic of the</w:t>
      </w:r>
      <w:r w:rsidR="004C2B75">
        <w:t xml:space="preserve"> pension: 31.98%, rounded to 32% of NAE</w:t>
      </w:r>
      <w:r w:rsidR="00716A8C">
        <w:t xml:space="preserve"> – see Figure 5.</w:t>
      </w:r>
      <w:r w:rsidR="004C2B75">
        <w:t xml:space="preserve"> Last year it </w:t>
      </w:r>
      <w:r w:rsidR="00752954">
        <w:t>could</w:t>
      </w:r>
      <w:r w:rsidR="004C2B75">
        <w:t xml:space="preserve"> be the highest flat</w:t>
      </w:r>
      <w:r w:rsidR="00752954">
        <w:t xml:space="preserve"> old-age pension in the world – for a couple of pensioners. In relation to the net NAE, the single-pensioner flat benefit in New Zealand might be higher. (From 2021 we have a severely lower taxation of wages and </w:t>
      </w:r>
      <w:r w:rsidR="00ED76F3">
        <w:t xml:space="preserve">the “pension gap” has </w:t>
      </w:r>
      <w:r w:rsidR="00597F16">
        <w:t xml:space="preserve">therefore </w:t>
      </w:r>
      <w:r w:rsidR="00ED76F3">
        <w:t>increased; for the average new pensioner</w:t>
      </w:r>
      <w:r w:rsidR="00802C6C">
        <w:t>,</w:t>
      </w:r>
      <w:r w:rsidR="00ED76F3">
        <w:t xml:space="preserve"> the relation to net NAE decreased from 66.3% to 61.5%.) </w:t>
      </w:r>
      <w:r w:rsidR="00E723F0">
        <w:t xml:space="preserve"> </w:t>
      </w:r>
    </w:p>
    <w:p w14:paraId="38177ED6" w14:textId="77777777" w:rsidR="00E723F0" w:rsidRPr="00250E79" w:rsidRDefault="00E723F0" w:rsidP="00E723F0">
      <w:pPr>
        <w:pStyle w:val="Zkladntext"/>
      </w:pPr>
      <w:r>
        <w:t xml:space="preserve">The new percentage amount of the old-age pension is 0.39% of the annual earnings. </w:t>
      </w:r>
      <w:r w:rsidRPr="00250E79">
        <w:t xml:space="preserve">Disability and survivor pensions should also undergo a similar reform of the parameters. An adequate solution for the disability pension is to have 3 basic disability </w:t>
      </w:r>
      <w:r>
        <w:t xml:space="preserve">basic amounts of </w:t>
      </w:r>
      <w:r w:rsidRPr="00250E79">
        <w:t>pensions (17.33%, 24.67%, 32%</w:t>
      </w:r>
      <w:r>
        <w:t xml:space="preserve"> of</w:t>
      </w:r>
      <w:r w:rsidRPr="00250E79">
        <w:t xml:space="preserve"> NAE) and 3 earnings-related accrual rates (0.13%, 0.26%, 0.39%), both depending on the disability level</w:t>
      </w:r>
      <w:r>
        <w:t>, as up to now.</w:t>
      </w:r>
      <w:r w:rsidRPr="00250E79">
        <w:t xml:space="preserve"> </w:t>
      </w:r>
    </w:p>
    <w:p w14:paraId="7869988D" w14:textId="77777777" w:rsidR="00E723F0" w:rsidRDefault="00E723F0" w:rsidP="00E723F0">
      <w:pPr>
        <w:pStyle w:val="Zkladntext"/>
      </w:pPr>
      <w:r w:rsidRPr="00250E79">
        <w:t xml:space="preserve">A similar reform of the survivor pensions may lead to these simple parameters: basic </w:t>
      </w:r>
      <w:r>
        <w:t xml:space="preserve">amount of </w:t>
      </w:r>
      <w:r w:rsidRPr="00250E79">
        <w:t xml:space="preserve">pension of 20% </w:t>
      </w:r>
      <w:r>
        <w:t xml:space="preserve">of </w:t>
      </w:r>
      <w:r w:rsidRPr="00250E79">
        <w:t xml:space="preserve">NAE and accrual rate 20% from the real or potential old-age or disability pension of the deceased. </w:t>
      </w:r>
    </w:p>
    <w:p w14:paraId="44E24901" w14:textId="7038D461" w:rsidR="00E723F0" w:rsidRDefault="00E723F0" w:rsidP="00E723F0">
      <w:pPr>
        <w:pStyle w:val="Zkladntext"/>
      </w:pPr>
      <w:r w:rsidRPr="00C561A5">
        <w:t xml:space="preserve">The ruling governments may be expected to revise the pension parameters and constructs, preferably alongside “their” welfare regimes. For these purposes the indexation of benefits may be used as well, as is the case e.g., in the United Kingdom. The basic/flat pensions </w:t>
      </w:r>
      <w:r>
        <w:t>might</w:t>
      </w:r>
      <w:r w:rsidRPr="00C561A5">
        <w:t xml:space="preserve"> be defined in absolute terms. </w:t>
      </w:r>
      <w:r>
        <w:t xml:space="preserve">Anyway, there is no reason to reserve the wage indexation to the first tier (flat) pensions and to tie the price indexation to the second tier (earnings-related) pensions. My guess is that it will be inversely, more likely. We </w:t>
      </w:r>
      <w:proofErr w:type="gramStart"/>
      <w:r>
        <w:t>have to</w:t>
      </w:r>
      <w:proofErr w:type="gramEnd"/>
      <w:r>
        <w:t xml:space="preserve"> expect that complex reforms of both pension tiers will follow. The best technical solution of the second tier is the Austrian system of “pension account” (</w:t>
      </w:r>
      <w:proofErr w:type="spellStart"/>
      <w:r>
        <w:t>Pensionskonto</w:t>
      </w:r>
      <w:proofErr w:type="spellEnd"/>
      <w:r>
        <w:t xml:space="preserve">) where the accrual old-age pension is computed annually and definitively (wage indexation follows). This system enables </w:t>
      </w:r>
      <w:proofErr w:type="gramStart"/>
      <w:r>
        <w:t>e.g.</w:t>
      </w:r>
      <w:proofErr w:type="gramEnd"/>
      <w:r>
        <w:t xml:space="preserve"> the annual increases of the accrual rate 0.39%. </w:t>
      </w:r>
    </w:p>
    <w:p w14:paraId="7C82AE11" w14:textId="35E33602" w:rsidR="00E723F0" w:rsidRDefault="00E723F0" w:rsidP="00E723F0">
      <w:pPr>
        <w:pStyle w:val="Titulek"/>
        <w:keepNext/>
      </w:pPr>
      <w:r>
        <w:t xml:space="preserve">Figure </w:t>
      </w:r>
      <w:r w:rsidR="00716A8C">
        <w:t>5</w:t>
      </w:r>
      <w:r>
        <w:t>: Technical old-age pension reform plan (% of NAE)</w:t>
      </w:r>
    </w:p>
    <w:p w14:paraId="2A9AA3FF" w14:textId="2F1766CE" w:rsidR="00E723F0" w:rsidRDefault="00E723F0" w:rsidP="00ED76F3">
      <w:pPr>
        <w:pStyle w:val="Zkladntext"/>
      </w:pPr>
      <w:r w:rsidRPr="00E723F0">
        <w:rPr>
          <w:noProof/>
        </w:rPr>
        <w:drawing>
          <wp:inline distT="0" distB="0" distL="0" distR="0" wp14:anchorId="2FCFC5C7" wp14:editId="568D6C2F">
            <wp:extent cx="5324475" cy="1828800"/>
            <wp:effectExtent l="0" t="0" r="9525" b="0"/>
            <wp:docPr id="1" name="Graf 1">
              <a:extLst xmlns:a="http://schemas.openxmlformats.org/drawingml/2006/main">
                <a:ext uri="{FF2B5EF4-FFF2-40B4-BE49-F238E27FC236}">
                  <a16:creationId xmlns:a16="http://schemas.microsoft.com/office/drawing/2014/main" id="{6E5BB942-2AAE-4E49-81B9-72202233E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5DF3D8" w14:textId="238F54EE" w:rsidR="00E723F0" w:rsidRDefault="00E723F0" w:rsidP="00E723F0">
      <w:pPr>
        <w:jc w:val="center"/>
        <w:rPr>
          <w:sz w:val="24"/>
          <w:lang w:val="en-GB"/>
        </w:rPr>
      </w:pPr>
      <w:r>
        <w:rPr>
          <w:rFonts w:eastAsia="Calibri"/>
          <w:szCs w:val="20"/>
          <w:lang w:val="en-GB"/>
        </w:rPr>
        <w:t xml:space="preserve">Source: Author </w:t>
      </w:r>
    </w:p>
    <w:p w14:paraId="09536158" w14:textId="723DCE89" w:rsidR="00A376A8" w:rsidRDefault="00E81C46" w:rsidP="00A376A8">
      <w:pPr>
        <w:pStyle w:val="Zkladntext"/>
        <w:rPr>
          <w:lang w:val="en-GB"/>
        </w:rPr>
      </w:pPr>
      <w:r w:rsidRPr="00241913">
        <w:rPr>
          <w:lang w:val="en-GB"/>
        </w:rPr>
        <w:t>The Czech tax structure is significantly different from the average of the OECD countries: we apply a very low taxation for personal incomes, and we have a high share of social security contributions.</w:t>
      </w:r>
      <w:r>
        <w:rPr>
          <w:lang w:val="en-GB"/>
        </w:rPr>
        <w:t xml:space="preserve"> Social security con</w:t>
      </w:r>
      <w:r>
        <w:rPr>
          <w:lang w:val="en-GB"/>
        </w:rPr>
        <w:lastRenderedPageBreak/>
        <w:t xml:space="preserve">tributions paid by the employees are not deducted from the personal income tax base. </w:t>
      </w:r>
      <w:r w:rsidR="006A5213" w:rsidRPr="00241913">
        <w:rPr>
          <w:lang w:val="en-GB"/>
        </w:rPr>
        <w:t xml:space="preserve">The social security contributions should, in principle, correspond to the design of the different social protection branches, they should not substitute taxation of income or consumption, as is the case primarily with the Czech health insurance premiums which constitute unfair income taxation. The pension insurance premium with the rate of 28% of the gross salary is justified for roughly 30% only because the flat-rate old-age pension is predominant in Czechia and should, similarly to general health care, be financed from general taxes – not from insurance premiums. Under these circumstances, the primary </w:t>
      </w:r>
      <w:r w:rsidR="00A376A8">
        <w:rPr>
          <w:lang w:val="en-GB"/>
        </w:rPr>
        <w:t xml:space="preserve">Czech </w:t>
      </w:r>
      <w:r w:rsidR="007A3DF6">
        <w:rPr>
          <w:lang w:val="en-GB"/>
        </w:rPr>
        <w:t xml:space="preserve">fair </w:t>
      </w:r>
      <w:r w:rsidR="006A5213" w:rsidRPr="00241913">
        <w:rPr>
          <w:lang w:val="en-GB"/>
        </w:rPr>
        <w:t xml:space="preserve">solution lies in integrating the employee insurance premiums </w:t>
      </w:r>
      <w:r w:rsidR="00A376A8">
        <w:rPr>
          <w:lang w:val="en-GB"/>
        </w:rPr>
        <w:t xml:space="preserve">(10.5% from gross wage) </w:t>
      </w:r>
      <w:r w:rsidR="006A5213" w:rsidRPr="00241913">
        <w:rPr>
          <w:lang w:val="en-GB"/>
        </w:rPr>
        <w:t>into the personal income tax</w:t>
      </w:r>
      <w:r w:rsidR="00A376A8">
        <w:rPr>
          <w:lang w:val="en-GB"/>
        </w:rPr>
        <w:t>. The</w:t>
      </w:r>
      <w:r w:rsidR="000A5203">
        <w:rPr>
          <w:lang w:val="en-GB"/>
        </w:rPr>
        <w:t xml:space="preserve"> total flat personal income tax rate would be 15% + 10.5% = 25.5%. The employer social security contributions could/should be unified to one rate as well.    </w:t>
      </w:r>
    </w:p>
    <w:p w14:paraId="0375FAAD" w14:textId="499DAFB6" w:rsidR="006A5213" w:rsidRPr="00F96A4C" w:rsidRDefault="00E723F0" w:rsidP="00F96A4C">
      <w:pPr>
        <w:pStyle w:val="Nadpis1"/>
      </w:pPr>
      <w:r w:rsidRPr="00F96A4C">
        <w:t>Conclusion</w:t>
      </w:r>
      <w:r w:rsidR="005849A6">
        <w:t>s</w:t>
      </w:r>
      <w:r w:rsidRPr="00F96A4C">
        <w:t xml:space="preserve"> </w:t>
      </w:r>
    </w:p>
    <w:p w14:paraId="05E57CE4" w14:textId="5787047D" w:rsidR="00C87B80" w:rsidRDefault="0087410D" w:rsidP="00ED76F3">
      <w:pPr>
        <w:pStyle w:val="Zkladntext"/>
      </w:pPr>
      <w:r>
        <w:t xml:space="preserve">Czechia </w:t>
      </w:r>
      <w:r w:rsidR="002608BB">
        <w:t>should</w:t>
      </w:r>
      <w:r>
        <w:t xml:space="preserve"> finalize the “small pension reform” (2011) to make the public “pension insurance”</w:t>
      </w:r>
      <w:r w:rsidR="001D6287">
        <w:t xml:space="preserve"> comprehensible for </w:t>
      </w:r>
      <w:r w:rsidR="0057038E">
        <w:t>most of</w:t>
      </w:r>
      <w:r w:rsidR="001D6287">
        <w:t xml:space="preserve"> the participants, including politicians. The first “move” shall be the abolition of the (low) bend point and (very low) reduction coefficient. We call it “technical pension reform” and it separates a huge basic/flat </w:t>
      </w:r>
      <w:r w:rsidR="00C87B80">
        <w:t xml:space="preserve">old-age and full disability </w:t>
      </w:r>
      <w:r w:rsidR="001D6287">
        <w:t>pension at the level of 32% of national average wage (NAE) from the remaining, real social pension insurance, in case of</w:t>
      </w:r>
      <w:r w:rsidR="005E776A">
        <w:t xml:space="preserve"> old-age pension</w:t>
      </w:r>
      <w:r w:rsidR="006A422A">
        <w:t>s</w:t>
      </w:r>
      <w:r w:rsidR="005E776A">
        <w:t xml:space="preserve"> and full disability pension</w:t>
      </w:r>
      <w:r w:rsidR="006A422A">
        <w:t>s</w:t>
      </w:r>
      <w:r w:rsidR="005E776A">
        <w:t xml:space="preserve"> with the accrual rate 0.39%</w:t>
      </w:r>
      <w:r w:rsidR="006A422A">
        <w:t>. The additional public costs are negligible. This pension reform may be considered as neutral</w:t>
      </w:r>
      <w:r w:rsidR="00C87B80">
        <w:t xml:space="preserve"> in the political sense</w:t>
      </w:r>
      <w:r w:rsidR="006A422A">
        <w:t>, all political parties and movements might agree. Conceptually we reveal a mixture of the modern liberal and social-democratic welfare regimes.</w:t>
      </w:r>
      <w:r w:rsidR="00C87B80">
        <w:t xml:space="preserve"> </w:t>
      </w:r>
    </w:p>
    <w:p w14:paraId="762ED7A7" w14:textId="4D533265" w:rsidR="00A20059" w:rsidRDefault="006A422A" w:rsidP="00ED76F3">
      <w:pPr>
        <w:pStyle w:val="Zkladntext"/>
      </w:pPr>
      <w:r>
        <w:t xml:space="preserve"> </w:t>
      </w:r>
      <w:r w:rsidR="001D6287">
        <w:t xml:space="preserve"> </w:t>
      </w:r>
      <w:r w:rsidR="00C87B80">
        <w:t xml:space="preserve">The basic partial disability pensions and survivor pensions will also be </w:t>
      </w:r>
      <w:r w:rsidR="004F773D">
        <w:t xml:space="preserve">adjusted in the same way. All parameters will be applied to the new pensions, antecedent (full) old-age and disability pensions will be increased only in cases that they are lower than 32% of NAE. </w:t>
      </w:r>
    </w:p>
    <w:p w14:paraId="71E8DF6F" w14:textId="01E6EF1D" w:rsidR="0051585A" w:rsidRDefault="008018FA" w:rsidP="00C33ED1">
      <w:pPr>
        <w:pStyle w:val="Zkladntext"/>
      </w:pPr>
      <w:r>
        <w:t>We derived t</w:t>
      </w:r>
      <w:r w:rsidR="004F773D">
        <w:t xml:space="preserve">he parameter 32% of NAE </w:t>
      </w:r>
      <w:r>
        <w:t xml:space="preserve">from </w:t>
      </w:r>
      <w:r w:rsidR="00973EC0">
        <w:t xml:space="preserve">the actual average career of </w:t>
      </w:r>
      <w:r w:rsidR="004F773D">
        <w:t>45 years</w:t>
      </w:r>
      <w:r w:rsidR="00973EC0">
        <w:t>. The first Fair pension plan applied another parameter: the at-risk-of-poverty thresholds from December 2018</w:t>
      </w:r>
      <w:r w:rsidR="009B2745">
        <w:t xml:space="preserve">; </w:t>
      </w:r>
      <w:r w:rsidR="00973EC0">
        <w:t>that is why</w:t>
      </w:r>
      <w:r w:rsidR="009B2745">
        <w:t xml:space="preserve"> the Ministry used the parameter 30% of NAE only … and it generated an additional bonus for pensioners with more than 41 years of career. It is an accumulation of mistakes. We do not know a similar construct abroad, too. </w:t>
      </w:r>
      <w:r w:rsidR="0051585A">
        <w:t xml:space="preserve">The same case is the additional child bonus; the existing validation of periods of childcare up to four years of age may be improved, of course. </w:t>
      </w:r>
    </w:p>
    <w:p w14:paraId="359B1689" w14:textId="77777777" w:rsidR="002608BB" w:rsidRDefault="0051585A" w:rsidP="00C33ED1">
      <w:pPr>
        <w:pStyle w:val="Zkladntext"/>
      </w:pPr>
      <w:r>
        <w:t xml:space="preserve">We recommend </w:t>
      </w:r>
      <w:r w:rsidR="00610980">
        <w:t xml:space="preserve">defining the basic pensions in absolute terms (CZK), not as a percentage of NAE, to enable a gradual relative decrease of this benefit via its indexation, using cost-of-living adjustments (COLA). The reason is that we expect that most politicians will prefer </w:t>
      </w:r>
      <w:r w:rsidR="005332F4">
        <w:t>the social insurance pension pillar. The optimal design of the earnings-related pension pillar is the Austrian system of “pension accounts”, containing real annual calculation of pension increments and balances. The accrual rate (0.39%) thus may be simply</w:t>
      </w:r>
      <w:r w:rsidR="002608BB">
        <w:t xml:space="preserve"> increased from the defined years in this pension accounting. As for the indexation of paid-out pensions, we prefer using the wage index. </w:t>
      </w:r>
      <w:r w:rsidR="005332F4">
        <w:t xml:space="preserve"> </w:t>
      </w:r>
    </w:p>
    <w:p w14:paraId="4B20A401" w14:textId="0101AD24" w:rsidR="00282F44" w:rsidRDefault="008D5FC7" w:rsidP="00282F44">
      <w:pPr>
        <w:pStyle w:val="Zkladntext"/>
      </w:pPr>
      <w:r w:rsidRPr="00114C40">
        <w:t xml:space="preserve">The Czech </w:t>
      </w:r>
      <w:r>
        <w:t>third</w:t>
      </w:r>
      <w:r w:rsidRPr="00114C40">
        <w:t xml:space="preserve"> pension pillar requires fundamental reform simply because essentially it does not perform its general basic function: securing the elderly. Th</w:t>
      </w:r>
      <w:r>
        <w:t>is</w:t>
      </w:r>
      <w:r w:rsidRPr="00114C40">
        <w:t xml:space="preserve"> pillar has practically no significance for most people throughout the world. The real purpose of this Czech pillar is to divest excess liquidity and the tax optimization.</w:t>
      </w:r>
      <w:r w:rsidR="00282F44">
        <w:t xml:space="preserve"> The so-called supplementary pension savings and similar products have degenerated in Czechia extremely, it is a waist of public money. A transformation according to the OECD recommendations is a pure reform to an inefficient neo-liberal “second” pension pillar.</w:t>
      </w:r>
      <w:r w:rsidR="00282F44" w:rsidRPr="00282F44">
        <w:t xml:space="preserve"> </w:t>
      </w:r>
      <w:r w:rsidR="00282F44" w:rsidRPr="00114C40">
        <w:t xml:space="preserve">The amalgamation of the occupational and personal pensions in common OECD pension “tiers” neglects their different roles in the OECD countries and in the welfare regimes as well. </w:t>
      </w:r>
      <w:r w:rsidR="00282F44">
        <w:t xml:space="preserve">Most people need a flexible savings pillar like the new UK individual savings accounts (ISA) or the </w:t>
      </w:r>
      <w:r w:rsidR="00282F44" w:rsidRPr="0068485E">
        <w:t>Canadian tax-free savings account (TFSA)</w:t>
      </w:r>
      <w:r w:rsidR="00282F44">
        <w:t xml:space="preserve">; the TEE tax regime is a simple and effective state support. </w:t>
      </w:r>
    </w:p>
    <w:p w14:paraId="6663ABF9" w14:textId="68E1A7D0" w:rsidR="00BD012F" w:rsidRDefault="00BD012F" w:rsidP="00C33ED1">
      <w:pPr>
        <w:pStyle w:val="Zkladntext"/>
      </w:pPr>
      <w:r>
        <w:t>Occupational pension plan</w:t>
      </w:r>
      <w:r w:rsidR="0057038E">
        <w:t>s</w:t>
      </w:r>
      <w:r>
        <w:t xml:space="preserve"> should be allowed</w:t>
      </w:r>
      <w:r w:rsidR="0057038E">
        <w:t>/regulated</w:t>
      </w:r>
      <w:r>
        <w:t xml:space="preserve"> in </w:t>
      </w:r>
      <w:r w:rsidR="0057038E">
        <w:t xml:space="preserve">our country. </w:t>
      </w:r>
    </w:p>
    <w:p w14:paraId="661498B3" w14:textId="21918337" w:rsidR="002608BB" w:rsidRDefault="002608BB" w:rsidP="00C33ED1">
      <w:pPr>
        <w:pStyle w:val="Zkladntext"/>
      </w:pPr>
      <w:r>
        <w:t xml:space="preserve">Own housing is the real third pension pillar in most OECD countries. We may include the housing benefits for the pensioners to this pillar in Czechia. </w:t>
      </w:r>
    </w:p>
    <w:p w14:paraId="31C1FC33" w14:textId="0DEE5775" w:rsidR="00572DA0" w:rsidRPr="00C33ED1" w:rsidRDefault="006778A2" w:rsidP="00EC6523">
      <w:pPr>
        <w:pStyle w:val="Zkladntext"/>
      </w:pPr>
      <w:r>
        <w:t xml:space="preserve">A tax reform would support the Czech pension reform because the social insurance pension rate is too </w:t>
      </w:r>
      <w:r w:rsidR="00FC36DB">
        <w:t>high,</w:t>
      </w:r>
      <w:r>
        <w:t xml:space="preserve"> and it might/should be substantially reduced in </w:t>
      </w:r>
      <w:r w:rsidR="00FC36DB">
        <w:t>favor</w:t>
      </w:r>
      <w:r>
        <w:t xml:space="preserve"> of the </w:t>
      </w:r>
      <w:r w:rsidR="00FC36DB">
        <w:t xml:space="preserve">too low </w:t>
      </w:r>
      <w:r>
        <w:t>personal income tax rate</w:t>
      </w:r>
      <w:r w:rsidR="00FC36DB">
        <w:t>. From the point of view</w:t>
      </w:r>
      <w:r>
        <w:t xml:space="preserve"> </w:t>
      </w:r>
      <w:r w:rsidR="00FC36DB">
        <w:t xml:space="preserve">of the adaptation of the tax structure to the respective welfare regime, the elimination of the public health insurance premium should be preferred. </w:t>
      </w:r>
      <w:r w:rsidR="00EC6523">
        <w:t>Anyway,</w:t>
      </w:r>
      <w:r w:rsidR="00FC36DB">
        <w:t xml:space="preserve"> the employee premiums may be simply integrated into the personal income tax and henceforward </w:t>
      </w:r>
      <w:r w:rsidR="00EC6523">
        <w:t>the</w:t>
      </w:r>
      <w:r w:rsidR="00FC36DB">
        <w:t xml:space="preserve"> </w:t>
      </w:r>
      <w:r w:rsidR="00EC6523">
        <w:t xml:space="preserve">total </w:t>
      </w:r>
      <w:r w:rsidR="00FC36DB">
        <w:t>social security</w:t>
      </w:r>
      <w:r w:rsidR="00EC6523">
        <w:t xml:space="preserve"> contribution may be paid by employers. Thus, the appropriate reform of the self-employed pensions, taxes and contributions will be also easier. </w:t>
      </w:r>
    </w:p>
    <w:p w14:paraId="493CF740" w14:textId="78D4CCB5" w:rsidR="0052403C" w:rsidRDefault="0052403C" w:rsidP="0052403C">
      <w:pPr>
        <w:pStyle w:val="ReferencesHeader"/>
      </w:pPr>
      <w:r>
        <w:t>References</w:t>
      </w:r>
    </w:p>
    <w:p w14:paraId="1D181AEC" w14:textId="6DB6E1AF" w:rsidR="00345B98" w:rsidRPr="00345B98" w:rsidRDefault="00345B98" w:rsidP="00345B98">
      <w:pPr>
        <w:pStyle w:val="Zkladntext"/>
        <w:spacing w:line="276" w:lineRule="auto"/>
      </w:pPr>
      <w:r w:rsidRPr="00345B98">
        <w:t>BABIŠ, A</w:t>
      </w:r>
      <w:r>
        <w:t xml:space="preserve">ndrej, et al., </w:t>
      </w:r>
      <w:r w:rsidRPr="00345B98">
        <w:t xml:space="preserve">2018. </w:t>
      </w:r>
      <w:r w:rsidRPr="007D1B07">
        <w:rPr>
          <w:lang w:val="cs-CZ"/>
        </w:rPr>
        <w:t xml:space="preserve">Programové prohlášení vlády České republiky. </w:t>
      </w:r>
      <w:r w:rsidR="00A837A9" w:rsidRPr="00D53834">
        <w:t>[online].</w:t>
      </w:r>
      <w:r w:rsidR="00A837A9" w:rsidRPr="004477E8">
        <w:t xml:space="preserve"> </w:t>
      </w:r>
      <w:r w:rsidRPr="007D1B07">
        <w:rPr>
          <w:lang w:val="cs-CZ"/>
        </w:rPr>
        <w:t>Praha: Úřad vlády České republiky.</w:t>
      </w:r>
      <w:r>
        <w:t xml:space="preserve"> </w:t>
      </w:r>
      <w:r w:rsidRPr="00D53834">
        <w:t>[Accessed 1</w:t>
      </w:r>
      <w:r w:rsidR="007C2ABF">
        <w:t>9</w:t>
      </w:r>
      <w:r>
        <w:t xml:space="preserve"> August</w:t>
      </w:r>
      <w:r w:rsidRPr="00D53834">
        <w:t> 20</w:t>
      </w:r>
      <w:r w:rsidR="007C2ABF">
        <w:t>21</w:t>
      </w:r>
      <w:r w:rsidRPr="00D53834">
        <w:t xml:space="preserve">]. Available from: </w:t>
      </w:r>
      <w:hyperlink r:id="rId13" w:history="1">
        <w:r w:rsidRPr="00345B98">
          <w:rPr>
            <w:rStyle w:val="Hypertextovodkaz"/>
          </w:rPr>
          <w:t>https://www.vlada.cz/assets/jednani-vlady/programove-prohlaseni/Programove-prohlaseni-vlady-cerven-2018.</w:t>
        </w:r>
      </w:hyperlink>
      <w:hyperlink r:id="rId14" w:history="1">
        <w:r w:rsidRPr="00345B98">
          <w:rPr>
            <w:rStyle w:val="Hypertextovodkaz"/>
          </w:rPr>
          <w:t>pdf</w:t>
        </w:r>
      </w:hyperlink>
      <w:r w:rsidRPr="00345B98">
        <w:rPr>
          <w:rStyle w:val="Hypertextovodkaz"/>
        </w:rPr>
        <w:t xml:space="preserve"> </w:t>
      </w:r>
      <w:r w:rsidRPr="00345B98">
        <w:t xml:space="preserve">  </w:t>
      </w:r>
    </w:p>
    <w:p w14:paraId="4345E21B" w14:textId="77777777" w:rsidR="007C2ABF" w:rsidRPr="007C2ABF" w:rsidRDefault="007C2ABF" w:rsidP="007C2ABF">
      <w:pPr>
        <w:pStyle w:val="Zkladntext"/>
      </w:pPr>
      <w:r w:rsidRPr="007C2ABF">
        <w:lastRenderedPageBreak/>
        <w:t xml:space="preserve">BOULHOL, </w:t>
      </w:r>
      <w:proofErr w:type="spellStart"/>
      <w:r w:rsidRPr="007C2ABF">
        <w:t>Hervé</w:t>
      </w:r>
      <w:proofErr w:type="spellEnd"/>
      <w:r w:rsidRPr="007C2ABF">
        <w:t>, GEPPERT, Christian, 2020. Public pensions. OECD Pension Review: Czech Republic, Chapters 1 &amp; 3. Presentation at the Fair Pension Commission meeting, Prague, 27 November 2020</w:t>
      </w:r>
    </w:p>
    <w:p w14:paraId="3A22986F" w14:textId="4922C922" w:rsidR="007D1B07" w:rsidRDefault="007D1B07" w:rsidP="007D1B07">
      <w:pPr>
        <w:pStyle w:val="Zkladntext"/>
      </w:pPr>
      <w:r w:rsidRPr="00375DB6">
        <w:t>CONSTITUTIONAL</w:t>
      </w:r>
      <w:r>
        <w:t xml:space="preserve"> COURT</w:t>
      </w:r>
      <w:r w:rsidRPr="00CD50EB">
        <w:t xml:space="preserve">, 2010. </w:t>
      </w:r>
      <w:r w:rsidRPr="007D1B07">
        <w:rPr>
          <w:i/>
          <w:iCs/>
          <w:lang w:val="cs-CZ"/>
        </w:rPr>
        <w:t>Rozhodnutí Ústavního soudu ČR: Nález ÚS 8</w:t>
      </w:r>
      <w:r w:rsidRPr="00CD50EB">
        <w:rPr>
          <w:i/>
          <w:iCs/>
        </w:rPr>
        <w:t>/07.</w:t>
      </w:r>
      <w:r w:rsidRPr="004477E8">
        <w:t xml:space="preserve"> </w:t>
      </w:r>
      <w:r w:rsidRPr="00D53834">
        <w:t>[online].</w:t>
      </w:r>
      <w:r w:rsidRPr="004477E8">
        <w:t xml:space="preserve"> </w:t>
      </w:r>
      <w:r w:rsidRPr="00D53834">
        <w:t>[Accessed </w:t>
      </w:r>
      <w:r w:rsidR="007C2ABF" w:rsidRPr="00D53834">
        <w:t>1</w:t>
      </w:r>
      <w:r w:rsidR="007C2ABF">
        <w:t>9 August</w:t>
      </w:r>
      <w:r w:rsidR="007C2ABF" w:rsidRPr="00D53834">
        <w:t> 20</w:t>
      </w:r>
      <w:r w:rsidR="007C2ABF">
        <w:t>21</w:t>
      </w:r>
      <w:r w:rsidRPr="00D53834">
        <w:t xml:space="preserve">]. Available from: </w:t>
      </w:r>
      <w:r w:rsidRPr="004477E8">
        <w:rPr>
          <w:rStyle w:val="Hypertextovodkaz"/>
        </w:rPr>
        <w:t>nalus.usoud.cz/Search/</w:t>
      </w:r>
      <w:proofErr w:type="spellStart"/>
      <w:r w:rsidRPr="004477E8">
        <w:rPr>
          <w:rStyle w:val="Hypertextovodkaz"/>
        </w:rPr>
        <w:t>GetText.aspx?sz</w:t>
      </w:r>
      <w:proofErr w:type="spellEnd"/>
      <w:r w:rsidRPr="004477E8">
        <w:rPr>
          <w:rStyle w:val="Hypertextovodkaz"/>
        </w:rPr>
        <w:t xml:space="preserve">=pl-8-07 </w:t>
      </w:r>
      <w:r>
        <w:t xml:space="preserve">  </w:t>
      </w:r>
      <w:r w:rsidRPr="00025113">
        <w:t xml:space="preserve">        </w:t>
      </w:r>
    </w:p>
    <w:p w14:paraId="729532DF" w14:textId="23F99A88" w:rsidR="007C2ABF" w:rsidRPr="007C2ABF" w:rsidRDefault="007C2ABF" w:rsidP="007C2ABF">
      <w:pPr>
        <w:pStyle w:val="Zkladntext"/>
      </w:pPr>
      <w:r w:rsidRPr="00572AC8">
        <w:t>EC</w:t>
      </w:r>
      <w:r>
        <w:t xml:space="preserve">, </w:t>
      </w:r>
      <w:r w:rsidRPr="00572AC8">
        <w:t xml:space="preserve">2017. Commission Staff Working Document accompanying the Proposal for a Regulation of the European Parliament and of the Council on a pan-European Personal Pension Product (PEPP). </w:t>
      </w:r>
      <w:r w:rsidR="00A837A9" w:rsidRPr="00D53834">
        <w:t>[online].</w:t>
      </w:r>
      <w:r w:rsidR="00A837A9" w:rsidRPr="004477E8">
        <w:t xml:space="preserve"> </w:t>
      </w:r>
      <w:r w:rsidRPr="007C2ABF">
        <w:t>Brussels. [Accessed 13 August 2019</w:t>
      </w:r>
      <w:r w:rsidRPr="00D53834">
        <w:t xml:space="preserve">]. </w:t>
      </w:r>
      <w:r w:rsidR="00A837A9" w:rsidRPr="00D53834">
        <w:t xml:space="preserve">Available from: </w:t>
      </w:r>
      <w:hyperlink r:id="rId15" w:history="1">
        <w:r w:rsidRPr="00A837A9">
          <w:rPr>
            <w:rStyle w:val="Hypertextovodkaz"/>
          </w:rPr>
          <w:t>https://data.consilium.europa.eu/doc/document/ST-10654-2017-ADD-1/en/pdf</w:t>
        </w:r>
      </w:hyperlink>
      <w:r w:rsidRPr="00A837A9">
        <w:rPr>
          <w:rStyle w:val="Hypertextovodkaz"/>
        </w:rPr>
        <w:t xml:space="preserve"> </w:t>
      </w:r>
      <w:r w:rsidRPr="007C2ABF">
        <w:t xml:space="preserve"> </w:t>
      </w:r>
    </w:p>
    <w:p w14:paraId="43A34F97" w14:textId="0EC04B71" w:rsidR="00282F44" w:rsidRPr="009243E6" w:rsidRDefault="009243E6" w:rsidP="009243E6">
      <w:pPr>
        <w:pStyle w:val="Zkladntext"/>
        <w:rPr>
          <w:color w:val="0000FF" w:themeColor="hyperlink"/>
          <w:u w:val="single"/>
        </w:rPr>
      </w:pPr>
      <w:r w:rsidRPr="009243E6">
        <w:t>KASPER</w:t>
      </w:r>
      <w:r w:rsidR="00282F44" w:rsidRPr="009243E6">
        <w:t>, R</w:t>
      </w:r>
      <w:r w:rsidRPr="009243E6">
        <w:t xml:space="preserve">yan, </w:t>
      </w:r>
      <w:r w:rsidR="00282F44" w:rsidRPr="009243E6">
        <w:t>20</w:t>
      </w:r>
      <w:r w:rsidRPr="009243E6">
        <w:t>2</w:t>
      </w:r>
      <w:r w:rsidR="00282F44" w:rsidRPr="009243E6">
        <w:t xml:space="preserve">1. The New 2020 TFSA Explained. Money after Graduation. [online]. </w:t>
      </w:r>
      <w:r w:rsidRPr="007C2ABF">
        <w:t>[Accessed 13 August 2019</w:t>
      </w:r>
      <w:r w:rsidRPr="00D53834">
        <w:t>]</w:t>
      </w:r>
      <w:r>
        <w:t xml:space="preserve">. </w:t>
      </w:r>
      <w:r w:rsidR="00282F44" w:rsidRPr="009243E6">
        <w:t xml:space="preserve">Available from: </w:t>
      </w:r>
      <w:hyperlink r:id="rId16" w:history="1">
        <w:r w:rsidR="00282F44" w:rsidRPr="009243E6">
          <w:rPr>
            <w:rStyle w:val="Hypertextovodkaz"/>
          </w:rPr>
          <w:t>https://www.moneyaftergraduation.com/tfsa-explained/</w:t>
        </w:r>
      </w:hyperlink>
    </w:p>
    <w:p w14:paraId="486B58E7" w14:textId="3E1841DB" w:rsidR="007D1B07" w:rsidRPr="007E2B0E" w:rsidRDefault="007D1B07" w:rsidP="007D1B07">
      <w:pPr>
        <w:pStyle w:val="Zkladntext"/>
        <w:rPr>
          <w:lang w:val="cs-CZ"/>
        </w:rPr>
      </w:pPr>
      <w:r>
        <w:t xml:space="preserve">MPSV, 2020. </w:t>
      </w:r>
      <w:r w:rsidRPr="007D1B07">
        <w:rPr>
          <w:lang w:val="cs-CZ"/>
        </w:rPr>
        <w:t>Varianty nastavení parametrů reformovaného důchodového systému. 9. zasedání Komise pro spravedlivé důchody, 10. 1. 2020</w:t>
      </w:r>
      <w:r>
        <w:rPr>
          <w:lang w:val="cs-CZ"/>
        </w:rPr>
        <w:t xml:space="preserve">. </w:t>
      </w:r>
      <w:r w:rsidR="007E2B0E">
        <w:rPr>
          <w:lang w:val="cs-CZ"/>
        </w:rPr>
        <w:t>Praha: MPSV.</w:t>
      </w:r>
      <w:r w:rsidRPr="007E2B0E">
        <w:rPr>
          <w:lang w:val="cs-CZ"/>
        </w:rPr>
        <w:t xml:space="preserve"> </w:t>
      </w:r>
    </w:p>
    <w:p w14:paraId="7B8722CF" w14:textId="2C6C97B0" w:rsidR="007E2B0E" w:rsidRPr="0054592E" w:rsidRDefault="007E2B0E" w:rsidP="007E2B0E">
      <w:pPr>
        <w:pStyle w:val="Zkladntext"/>
        <w:rPr>
          <w:lang w:val="cs-CZ"/>
        </w:rPr>
      </w:pPr>
      <w:r w:rsidRPr="0054592E">
        <w:rPr>
          <w:lang w:val="cs-CZ"/>
        </w:rPr>
        <w:t>MPSV, 2021. Návrh zákona, kterým se mění zákon č. 155/1995 Sb., o důchodovém pojištění, ve znění pozdějších předpisů, zákon č. 582/1991 Sb., o organizaci a provádění sociálního zabezpečení, ve znění pozdějších předpisů, a zákon č. 589/1992 Sb., o pojistném na sociální zabezpečení a příspěvku na státní politiku zaměstnanosti, ve znění pozdějších předpisů. Vypořádání připomínek k tomuto materiálu. Praha: MPSV.</w:t>
      </w:r>
    </w:p>
    <w:p w14:paraId="7415F825" w14:textId="1573749D" w:rsidR="00700AA9" w:rsidRPr="007C2ABF" w:rsidRDefault="00700AA9" w:rsidP="00700AA9">
      <w:pPr>
        <w:pStyle w:val="Zkladntext"/>
        <w:rPr>
          <w:rStyle w:val="Hypertextovodkaz"/>
        </w:rPr>
      </w:pPr>
      <w:r w:rsidRPr="00802C6C">
        <w:rPr>
          <w:lang w:val="cs-CZ"/>
        </w:rPr>
        <w:t xml:space="preserve">OECD, 2018. OECD </w:t>
      </w:r>
      <w:proofErr w:type="spellStart"/>
      <w:r w:rsidRPr="00802C6C">
        <w:rPr>
          <w:lang w:val="cs-CZ"/>
        </w:rPr>
        <w:t>Pensions</w:t>
      </w:r>
      <w:proofErr w:type="spellEnd"/>
      <w:r w:rsidRPr="00802C6C">
        <w:rPr>
          <w:lang w:val="cs-CZ"/>
        </w:rPr>
        <w:t xml:space="preserve"> Outlook 2018.</w:t>
      </w:r>
      <w:r w:rsidR="00A837A9" w:rsidRPr="00802C6C">
        <w:rPr>
          <w:lang w:val="cs-CZ"/>
        </w:rPr>
        <w:t xml:space="preserve"> </w:t>
      </w:r>
      <w:r w:rsidR="00A837A9" w:rsidRPr="00D53834">
        <w:t>[online].</w:t>
      </w:r>
      <w:r w:rsidR="00A837A9" w:rsidRPr="004477E8">
        <w:t xml:space="preserve"> </w:t>
      </w:r>
      <w:r w:rsidRPr="007C2ABF">
        <w:t>Paris: OECD Publishing. [Accessed </w:t>
      </w:r>
      <w:r w:rsidR="007C2ABF" w:rsidRPr="00D53834">
        <w:t>1</w:t>
      </w:r>
      <w:r w:rsidR="007C2ABF">
        <w:t>9 August</w:t>
      </w:r>
      <w:r w:rsidR="007C2ABF" w:rsidRPr="00D53834">
        <w:t> 20</w:t>
      </w:r>
      <w:r w:rsidR="007C2ABF">
        <w:t>21</w:t>
      </w:r>
      <w:r w:rsidRPr="007C2ABF">
        <w:t xml:space="preserve">] </w:t>
      </w:r>
      <w:r w:rsidR="00A837A9" w:rsidRPr="00D53834">
        <w:t xml:space="preserve">Available from: </w:t>
      </w:r>
      <w:hyperlink r:id="rId17" w:history="1">
        <w:r w:rsidRPr="007C2ABF">
          <w:rPr>
            <w:rStyle w:val="Hypertextovodkaz"/>
          </w:rPr>
          <w:t>https://doi.org/10.1787/pens_outlook-2018-en</w:t>
        </w:r>
      </w:hyperlink>
      <w:r w:rsidRPr="007C2ABF">
        <w:rPr>
          <w:rStyle w:val="Hypertextovodkaz"/>
        </w:rPr>
        <w:t xml:space="preserve"> </w:t>
      </w:r>
    </w:p>
    <w:p w14:paraId="300466CF" w14:textId="7804CE03" w:rsidR="0054592E" w:rsidRPr="007C2ABF" w:rsidRDefault="0054592E" w:rsidP="0054592E">
      <w:pPr>
        <w:pStyle w:val="Zkladntext"/>
      </w:pPr>
      <w:r w:rsidRPr="007C2ABF">
        <w:t>OECD, 2020. OECD Reviews of Pension Systems: Czech Republic.</w:t>
      </w:r>
      <w:r w:rsidR="00A837A9">
        <w:t xml:space="preserve"> </w:t>
      </w:r>
      <w:r w:rsidR="00A837A9" w:rsidRPr="00D53834">
        <w:t>[online].</w:t>
      </w:r>
      <w:r w:rsidR="00A837A9" w:rsidRPr="004477E8">
        <w:t xml:space="preserve"> </w:t>
      </w:r>
      <w:r w:rsidRPr="007C2ABF">
        <w:t>Paris: OECD Publishing. [Accessed </w:t>
      </w:r>
      <w:r w:rsidR="007C2ABF" w:rsidRPr="00D53834">
        <w:t>1</w:t>
      </w:r>
      <w:r w:rsidR="007C2ABF">
        <w:t>9 August</w:t>
      </w:r>
      <w:r w:rsidR="007C2ABF" w:rsidRPr="00D53834">
        <w:t> 20</w:t>
      </w:r>
      <w:r w:rsidR="007C2ABF">
        <w:t>21</w:t>
      </w:r>
      <w:r w:rsidRPr="007C2ABF">
        <w:t xml:space="preserve">]. Available from: </w:t>
      </w:r>
      <w:hyperlink r:id="rId18" w:history="1">
        <w:r w:rsidRPr="007C2ABF">
          <w:rPr>
            <w:rStyle w:val="Hypertextovodkaz"/>
          </w:rPr>
          <w:t>https://doi.org/10.1787/e6387738-en</w:t>
        </w:r>
      </w:hyperlink>
      <w:r w:rsidRPr="007C2ABF">
        <w:rPr>
          <w:rStyle w:val="Hypertextovodkaz"/>
        </w:rPr>
        <w:t xml:space="preserve"> </w:t>
      </w:r>
      <w:r w:rsidRPr="007C2ABF">
        <w:t xml:space="preserve">    </w:t>
      </w:r>
    </w:p>
    <w:p w14:paraId="7116A9D6" w14:textId="6072E561" w:rsidR="007C2ABF" w:rsidRPr="007C2ABF" w:rsidRDefault="007C2ABF" w:rsidP="007C2ABF">
      <w:pPr>
        <w:pStyle w:val="Zkladntext"/>
        <w:rPr>
          <w:rStyle w:val="Hypertextovodkaz"/>
        </w:rPr>
      </w:pPr>
      <w:r w:rsidRPr="007C2ABF">
        <w:t xml:space="preserve">WILLMORE, Larry. (2000). Three Pillars of Pensions? A Proposal to End Mandatory Contributions. </w:t>
      </w:r>
      <w:r w:rsidR="00A837A9" w:rsidRPr="00D53834">
        <w:t>[online].</w:t>
      </w:r>
      <w:r w:rsidR="00A837A9" w:rsidRPr="004477E8">
        <w:t xml:space="preserve"> </w:t>
      </w:r>
      <w:r w:rsidRPr="007C2ABF">
        <w:t>United Nations DESA Discussion Paper No. 13. [Accessed </w:t>
      </w:r>
      <w:r w:rsidRPr="00D53834">
        <w:t>1</w:t>
      </w:r>
      <w:r>
        <w:t>9 August</w:t>
      </w:r>
      <w:r w:rsidRPr="00D53834">
        <w:t> 20</w:t>
      </w:r>
      <w:r>
        <w:t>21</w:t>
      </w:r>
      <w:r w:rsidRPr="007C2ABF">
        <w:t xml:space="preserve">]. </w:t>
      </w:r>
      <w:r w:rsidR="00A837A9" w:rsidRPr="00D53834">
        <w:t xml:space="preserve">Available from: </w:t>
      </w:r>
      <w:hyperlink r:id="rId19" w:history="1">
        <w:r w:rsidRPr="007C2ABF">
          <w:rPr>
            <w:rStyle w:val="Hypertextovodkaz"/>
          </w:rPr>
          <w:t>https://www.un.org/esa/desa/papers/2000/esa00dp13.pdf</w:t>
        </w:r>
      </w:hyperlink>
      <w:r w:rsidRPr="007C2ABF">
        <w:rPr>
          <w:rStyle w:val="Hypertextovodkaz"/>
        </w:rPr>
        <w:t xml:space="preserve">  </w:t>
      </w:r>
    </w:p>
    <w:p w14:paraId="44F6DD8C" w14:textId="440B5A62" w:rsidR="00700AA9" w:rsidRPr="00700AA9" w:rsidRDefault="007C2ABF" w:rsidP="00700AA9">
      <w:pPr>
        <w:pStyle w:val="Zkladntext"/>
        <w:rPr>
          <w:lang w:val="cs-CZ"/>
        </w:rPr>
      </w:pPr>
      <w:r w:rsidRPr="007C2ABF">
        <w:t>WORLD BANK</w:t>
      </w:r>
      <w:r w:rsidR="00700AA9" w:rsidRPr="007C2ABF">
        <w:t xml:space="preserve">, 2017. Capital Market Assessment / Market Development Options: Czech Republic. </w:t>
      </w:r>
      <w:r w:rsidR="00A837A9" w:rsidRPr="00D53834">
        <w:t>[online].</w:t>
      </w:r>
      <w:r w:rsidR="00A837A9" w:rsidRPr="004477E8">
        <w:t xml:space="preserve"> </w:t>
      </w:r>
      <w:r w:rsidR="00700AA9" w:rsidRPr="007C2ABF">
        <w:t>Washington: The World Bank. [Accessed </w:t>
      </w:r>
      <w:r w:rsidRPr="00D53834">
        <w:t>1</w:t>
      </w:r>
      <w:r>
        <w:t>9 August</w:t>
      </w:r>
      <w:r w:rsidRPr="00D53834">
        <w:t> 20</w:t>
      </w:r>
      <w:r>
        <w:t>21</w:t>
      </w:r>
      <w:r w:rsidR="00700AA9" w:rsidRPr="00D53834">
        <w:t xml:space="preserve">]. </w:t>
      </w:r>
      <w:r w:rsidR="00A837A9" w:rsidRPr="00D53834">
        <w:t xml:space="preserve">Available from: </w:t>
      </w:r>
      <w:hyperlink r:id="rId20" w:history="1">
        <w:r w:rsidR="00700AA9" w:rsidRPr="00700AA9">
          <w:rPr>
            <w:rStyle w:val="Hypertextovodkaz"/>
          </w:rPr>
          <w:t>https://www.mfcr.cz/cs/soukromy-sektor/kapitalovy-trh/podnikani-na-kapitalovem-trhu/2017/zprava-svetove-banky-o-kapitalovem-trhu-29766</w:t>
        </w:r>
      </w:hyperlink>
      <w:r w:rsidR="00700AA9" w:rsidRPr="00700AA9">
        <w:rPr>
          <w:lang w:val="cs-CZ"/>
        </w:rPr>
        <w:t xml:space="preserve">  </w:t>
      </w:r>
    </w:p>
    <w:p w14:paraId="6187E309" w14:textId="77777777" w:rsidR="00700AA9" w:rsidRDefault="00700AA9" w:rsidP="00700AA9">
      <w:pPr>
        <w:pStyle w:val="Referenceslist"/>
        <w:numPr>
          <w:ilvl w:val="0"/>
          <w:numId w:val="0"/>
        </w:numPr>
      </w:pPr>
    </w:p>
    <w:p w14:paraId="5374A04E" w14:textId="66E29A8F" w:rsidR="004477E8" w:rsidRPr="007C2ABF" w:rsidRDefault="004477E8" w:rsidP="0057038E">
      <w:pPr>
        <w:pStyle w:val="Zkladntext"/>
        <w:ind w:firstLine="0"/>
      </w:pPr>
    </w:p>
    <w:p w14:paraId="04D491A6" w14:textId="77777777" w:rsidR="00700AA9" w:rsidRPr="007E2B0E" w:rsidRDefault="00700AA9" w:rsidP="00FE79B8">
      <w:pPr>
        <w:pStyle w:val="Zkladntext"/>
        <w:rPr>
          <w:lang w:val="cs-CZ"/>
        </w:rPr>
      </w:pPr>
    </w:p>
    <w:p w14:paraId="4860E113" w14:textId="47A77702" w:rsidR="00C1179A" w:rsidRPr="00282F44" w:rsidRDefault="00C1179A" w:rsidP="008C178F">
      <w:pPr>
        <w:pStyle w:val="Zkladntext"/>
        <w:rPr>
          <w:sz w:val="24"/>
          <w:lang w:val="en-GB"/>
        </w:rPr>
      </w:pPr>
    </w:p>
    <w:sectPr w:rsidR="00C1179A" w:rsidRPr="00282F44" w:rsidSect="00C94C83">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001F6" w14:textId="77777777" w:rsidR="00002AA9" w:rsidRDefault="00002AA9">
      <w:r>
        <w:separator/>
      </w:r>
    </w:p>
  </w:endnote>
  <w:endnote w:type="continuationSeparator" w:id="0">
    <w:p w14:paraId="1593BE56" w14:textId="77777777" w:rsidR="00002AA9" w:rsidRDefault="00002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C518" w14:textId="77777777" w:rsidR="00557D23" w:rsidRDefault="00557D2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0E07" w14:textId="77777777" w:rsidR="00557D23" w:rsidRDefault="00557D2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F654" w14:textId="77777777" w:rsidR="00557D23" w:rsidRDefault="00557D2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790E0" w14:textId="77777777" w:rsidR="00002AA9" w:rsidRDefault="00002AA9">
      <w:r>
        <w:separator/>
      </w:r>
    </w:p>
  </w:footnote>
  <w:footnote w:type="continuationSeparator" w:id="0">
    <w:p w14:paraId="2652835E" w14:textId="77777777" w:rsidR="00002AA9" w:rsidRDefault="00002AA9">
      <w:r>
        <w:continuationSeparator/>
      </w:r>
    </w:p>
  </w:footnote>
  <w:footnote w:id="1">
    <w:p w14:paraId="6EB399D7" w14:textId="5F4AC57B" w:rsidR="002B72C4" w:rsidRDefault="002B72C4" w:rsidP="002B72C4">
      <w:pPr>
        <w:pStyle w:val="Textpoznpodarou"/>
      </w:pPr>
      <w:r>
        <w:rPr>
          <w:rStyle w:val="Znakapoznpodarou"/>
        </w:rPr>
        <w:t>*</w:t>
      </w:r>
      <w:r>
        <w:t xml:space="preserve"> </w:t>
      </w:r>
      <w:r w:rsidR="00A165D9">
        <w:t xml:space="preserve">prof. Ing. Jaroslav Vostatek, CSc.; </w:t>
      </w:r>
      <w:r w:rsidR="009112D0">
        <w:t>Department of Finance</w:t>
      </w:r>
      <w:r w:rsidR="00A165D9">
        <w:t>,</w:t>
      </w:r>
      <w:r w:rsidR="009112D0">
        <w:t xml:space="preserve"> Faculty of </w:t>
      </w:r>
      <w:r w:rsidR="00A165D9">
        <w:t>Economic Studies</w:t>
      </w:r>
      <w:r w:rsidR="009112D0">
        <w:t>,</w:t>
      </w:r>
      <w:r w:rsidR="00C56F44" w:rsidRPr="00C56F44">
        <w:t xml:space="preserve"> </w:t>
      </w:r>
      <w:r w:rsidR="009112D0">
        <w:t xml:space="preserve">University of </w:t>
      </w:r>
      <w:r w:rsidR="00A165D9">
        <w:t>Finance and Administration</w:t>
      </w:r>
      <w:r w:rsidR="009112D0">
        <w:t>, Prague</w:t>
      </w:r>
      <w:r w:rsidR="00C56F44" w:rsidRPr="00C56F44">
        <w:t xml:space="preserve">, </w:t>
      </w:r>
      <w:proofErr w:type="spellStart"/>
      <w:r w:rsidR="00A165D9">
        <w:t>Estonská</w:t>
      </w:r>
      <w:proofErr w:type="spellEnd"/>
      <w:r w:rsidR="00A165D9">
        <w:t xml:space="preserve"> 500, 101 00 </w:t>
      </w:r>
      <w:r w:rsidR="009112D0">
        <w:t>Prague</w:t>
      </w:r>
      <w:r w:rsidR="00C56F44" w:rsidRPr="00C56F44">
        <w:t>, Czech</w:t>
      </w:r>
      <w:r w:rsidR="00A165D9">
        <w:t>ia</w:t>
      </w:r>
      <w:r w:rsidR="00C56F44" w:rsidRPr="00C56F44">
        <w:t xml:space="preserve">, </w:t>
      </w:r>
      <w:hyperlink r:id="rId1" w:history="1">
        <w:r w:rsidR="00A165D9" w:rsidRPr="00C20BAC">
          <w:rPr>
            <w:rStyle w:val="Hypertextovodkaz"/>
          </w:rPr>
          <w:t>jaroslav.vostatek@vsfs.cz</w:t>
        </w:r>
      </w:hyperlink>
      <w:r w:rsidR="00A165D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A4F7" w14:textId="77777777" w:rsidR="00557D23" w:rsidRDefault="00557D2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D477" w14:textId="77777777" w:rsidR="00557D23" w:rsidRDefault="00557D23">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050B1" w14:textId="77777777" w:rsidR="00557D23" w:rsidRDefault="00557D2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382A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8229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7413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7D68D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498FC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CE69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52BD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E41A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06DC6DE2"/>
    <w:lvl w:ilvl="0">
      <w:start w:val="1"/>
      <w:numFmt w:val="bullet"/>
      <w:pStyle w:val="Seznamsodrkami"/>
      <w:lvlText w:val=""/>
      <w:lvlJc w:val="left"/>
      <w:pPr>
        <w:tabs>
          <w:tab w:val="num" w:pos="300"/>
        </w:tabs>
        <w:ind w:left="300" w:hanging="300"/>
      </w:pPr>
      <w:rPr>
        <w:rFonts w:ascii="Symbol" w:hAnsi="Symbol" w:hint="default"/>
      </w:rPr>
    </w:lvl>
  </w:abstractNum>
  <w:abstractNum w:abstractNumId="9" w15:restartNumberingAfterBreak="0">
    <w:nsid w:val="05966DAE"/>
    <w:multiLevelType w:val="multilevel"/>
    <w:tmpl w:val="0B8E86F6"/>
    <w:lvl w:ilvl="0">
      <w:start w:val="1"/>
      <w:numFmt w:val="decimal"/>
      <w:lvlText w:val="%1."/>
      <w:lvlJc w:val="left"/>
      <w:pPr>
        <w:tabs>
          <w:tab w:val="num" w:pos="300"/>
        </w:tabs>
        <w:ind w:left="300" w:hanging="30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92F0662"/>
    <w:multiLevelType w:val="multilevel"/>
    <w:tmpl w:val="24D4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4C5F6D"/>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E62768C"/>
    <w:multiLevelType w:val="multilevel"/>
    <w:tmpl w:val="37B6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9B0AEC"/>
    <w:multiLevelType w:val="multilevel"/>
    <w:tmpl w:val="5B3C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4D4D8E"/>
    <w:multiLevelType w:val="multilevel"/>
    <w:tmpl w:val="0C30CF10"/>
    <w:styleLink w:val="HeadingNumbers"/>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0D67851"/>
    <w:multiLevelType w:val="multilevel"/>
    <w:tmpl w:val="E7927D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21B28EB"/>
    <w:multiLevelType w:val="multilevel"/>
    <w:tmpl w:val="F80CA7C0"/>
    <w:lvl w:ilvl="0">
      <w:start w:val="1"/>
      <w:numFmt w:val="decimal"/>
      <w:pStyle w:val="Referenceslist"/>
      <w:lvlText w:val="[%1]"/>
      <w:lvlJc w:val="left"/>
      <w:pPr>
        <w:ind w:left="510" w:hanging="51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007424C"/>
    <w:multiLevelType w:val="hybridMultilevel"/>
    <w:tmpl w:val="4642E7AE"/>
    <w:lvl w:ilvl="0" w:tplc="5052C266">
      <w:start w:val="1"/>
      <w:numFmt w:val="decimal"/>
      <w:pStyle w:val="Seznamcitac"/>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330F7581"/>
    <w:multiLevelType w:val="multilevel"/>
    <w:tmpl w:val="E7927D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4B2268B"/>
    <w:multiLevelType w:val="hybridMultilevel"/>
    <w:tmpl w:val="D714AECC"/>
    <w:lvl w:ilvl="0" w:tplc="90BE4BFC">
      <w:start w:val="1"/>
      <w:numFmt w:val="decimal"/>
      <w:lvlText w:val="[%1]"/>
      <w:lvlJc w:val="left"/>
      <w:pPr>
        <w:ind w:left="489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5322C44"/>
    <w:multiLevelType w:val="hybridMultilevel"/>
    <w:tmpl w:val="C6CAB1FA"/>
    <w:lvl w:ilvl="0" w:tplc="04050001">
      <w:start w:val="1"/>
      <w:numFmt w:val="bullet"/>
      <w:lvlText w:val=""/>
      <w:lvlJc w:val="left"/>
      <w:pPr>
        <w:ind w:left="1021" w:hanging="360"/>
      </w:pPr>
      <w:rPr>
        <w:rFonts w:ascii="Symbol" w:hAnsi="Symbol" w:hint="default"/>
      </w:rPr>
    </w:lvl>
    <w:lvl w:ilvl="1" w:tplc="04050003">
      <w:start w:val="1"/>
      <w:numFmt w:val="bullet"/>
      <w:lvlText w:val="o"/>
      <w:lvlJc w:val="left"/>
      <w:pPr>
        <w:ind w:left="1741" w:hanging="360"/>
      </w:pPr>
      <w:rPr>
        <w:rFonts w:ascii="Courier New" w:hAnsi="Courier New" w:cs="Courier New" w:hint="default"/>
      </w:rPr>
    </w:lvl>
    <w:lvl w:ilvl="2" w:tplc="04050005" w:tentative="1">
      <w:start w:val="1"/>
      <w:numFmt w:val="bullet"/>
      <w:lvlText w:val=""/>
      <w:lvlJc w:val="left"/>
      <w:pPr>
        <w:ind w:left="2461" w:hanging="360"/>
      </w:pPr>
      <w:rPr>
        <w:rFonts w:ascii="Wingdings" w:hAnsi="Wingdings" w:hint="default"/>
      </w:rPr>
    </w:lvl>
    <w:lvl w:ilvl="3" w:tplc="04050001" w:tentative="1">
      <w:start w:val="1"/>
      <w:numFmt w:val="bullet"/>
      <w:lvlText w:val=""/>
      <w:lvlJc w:val="left"/>
      <w:pPr>
        <w:ind w:left="3181" w:hanging="360"/>
      </w:pPr>
      <w:rPr>
        <w:rFonts w:ascii="Symbol" w:hAnsi="Symbol" w:hint="default"/>
      </w:rPr>
    </w:lvl>
    <w:lvl w:ilvl="4" w:tplc="04050003" w:tentative="1">
      <w:start w:val="1"/>
      <w:numFmt w:val="bullet"/>
      <w:lvlText w:val="o"/>
      <w:lvlJc w:val="left"/>
      <w:pPr>
        <w:ind w:left="3901" w:hanging="360"/>
      </w:pPr>
      <w:rPr>
        <w:rFonts w:ascii="Courier New" w:hAnsi="Courier New" w:cs="Courier New" w:hint="default"/>
      </w:rPr>
    </w:lvl>
    <w:lvl w:ilvl="5" w:tplc="04050005" w:tentative="1">
      <w:start w:val="1"/>
      <w:numFmt w:val="bullet"/>
      <w:lvlText w:val=""/>
      <w:lvlJc w:val="left"/>
      <w:pPr>
        <w:ind w:left="4621" w:hanging="360"/>
      </w:pPr>
      <w:rPr>
        <w:rFonts w:ascii="Wingdings" w:hAnsi="Wingdings" w:hint="default"/>
      </w:rPr>
    </w:lvl>
    <w:lvl w:ilvl="6" w:tplc="04050001" w:tentative="1">
      <w:start w:val="1"/>
      <w:numFmt w:val="bullet"/>
      <w:lvlText w:val=""/>
      <w:lvlJc w:val="left"/>
      <w:pPr>
        <w:ind w:left="5341" w:hanging="360"/>
      </w:pPr>
      <w:rPr>
        <w:rFonts w:ascii="Symbol" w:hAnsi="Symbol" w:hint="default"/>
      </w:rPr>
    </w:lvl>
    <w:lvl w:ilvl="7" w:tplc="04050003" w:tentative="1">
      <w:start w:val="1"/>
      <w:numFmt w:val="bullet"/>
      <w:lvlText w:val="o"/>
      <w:lvlJc w:val="left"/>
      <w:pPr>
        <w:ind w:left="6061" w:hanging="360"/>
      </w:pPr>
      <w:rPr>
        <w:rFonts w:ascii="Courier New" w:hAnsi="Courier New" w:cs="Courier New" w:hint="default"/>
      </w:rPr>
    </w:lvl>
    <w:lvl w:ilvl="8" w:tplc="04050005" w:tentative="1">
      <w:start w:val="1"/>
      <w:numFmt w:val="bullet"/>
      <w:lvlText w:val=""/>
      <w:lvlJc w:val="left"/>
      <w:pPr>
        <w:ind w:left="6781" w:hanging="360"/>
      </w:pPr>
      <w:rPr>
        <w:rFonts w:ascii="Wingdings" w:hAnsi="Wingdings" w:hint="default"/>
      </w:rPr>
    </w:lvl>
  </w:abstractNum>
  <w:abstractNum w:abstractNumId="21" w15:restartNumberingAfterBreak="0">
    <w:nsid w:val="57A21CF3"/>
    <w:multiLevelType w:val="hybridMultilevel"/>
    <w:tmpl w:val="AC56FFF4"/>
    <w:lvl w:ilvl="0" w:tplc="DB1A1476">
      <w:start w:val="1"/>
      <w:numFmt w:val="bullet"/>
      <w:lvlText w:val="•"/>
      <w:lvlJc w:val="left"/>
      <w:pPr>
        <w:tabs>
          <w:tab w:val="num" w:pos="720"/>
        </w:tabs>
        <w:ind w:left="720" w:hanging="360"/>
      </w:pPr>
      <w:rPr>
        <w:rFonts w:ascii="Arial" w:hAnsi="Arial" w:hint="default"/>
      </w:rPr>
    </w:lvl>
    <w:lvl w:ilvl="1" w:tplc="6F06A66A">
      <w:numFmt w:val="bullet"/>
      <w:lvlText w:val="–"/>
      <w:lvlJc w:val="left"/>
      <w:pPr>
        <w:tabs>
          <w:tab w:val="num" w:pos="1440"/>
        </w:tabs>
        <w:ind w:left="1440" w:hanging="360"/>
      </w:pPr>
      <w:rPr>
        <w:rFonts w:ascii="Arial" w:hAnsi="Arial" w:hint="default"/>
      </w:rPr>
    </w:lvl>
    <w:lvl w:ilvl="2" w:tplc="A98CD9B4">
      <w:numFmt w:val="bullet"/>
      <w:lvlText w:val="•"/>
      <w:lvlJc w:val="left"/>
      <w:pPr>
        <w:tabs>
          <w:tab w:val="num" w:pos="2160"/>
        </w:tabs>
        <w:ind w:left="2160" w:hanging="360"/>
      </w:pPr>
      <w:rPr>
        <w:rFonts w:ascii="Arial" w:hAnsi="Arial" w:hint="default"/>
      </w:rPr>
    </w:lvl>
    <w:lvl w:ilvl="3" w:tplc="520E4A1A" w:tentative="1">
      <w:start w:val="1"/>
      <w:numFmt w:val="bullet"/>
      <w:lvlText w:val="•"/>
      <w:lvlJc w:val="left"/>
      <w:pPr>
        <w:tabs>
          <w:tab w:val="num" w:pos="2880"/>
        </w:tabs>
        <w:ind w:left="2880" w:hanging="360"/>
      </w:pPr>
      <w:rPr>
        <w:rFonts w:ascii="Arial" w:hAnsi="Arial" w:hint="default"/>
      </w:rPr>
    </w:lvl>
    <w:lvl w:ilvl="4" w:tplc="3D50B9E2" w:tentative="1">
      <w:start w:val="1"/>
      <w:numFmt w:val="bullet"/>
      <w:lvlText w:val="•"/>
      <w:lvlJc w:val="left"/>
      <w:pPr>
        <w:tabs>
          <w:tab w:val="num" w:pos="3600"/>
        </w:tabs>
        <w:ind w:left="3600" w:hanging="360"/>
      </w:pPr>
      <w:rPr>
        <w:rFonts w:ascii="Arial" w:hAnsi="Arial" w:hint="default"/>
      </w:rPr>
    </w:lvl>
    <w:lvl w:ilvl="5" w:tplc="9A32F30E" w:tentative="1">
      <w:start w:val="1"/>
      <w:numFmt w:val="bullet"/>
      <w:lvlText w:val="•"/>
      <w:lvlJc w:val="left"/>
      <w:pPr>
        <w:tabs>
          <w:tab w:val="num" w:pos="4320"/>
        </w:tabs>
        <w:ind w:left="4320" w:hanging="360"/>
      </w:pPr>
      <w:rPr>
        <w:rFonts w:ascii="Arial" w:hAnsi="Arial" w:hint="default"/>
      </w:rPr>
    </w:lvl>
    <w:lvl w:ilvl="6" w:tplc="FF0C1464" w:tentative="1">
      <w:start w:val="1"/>
      <w:numFmt w:val="bullet"/>
      <w:lvlText w:val="•"/>
      <w:lvlJc w:val="left"/>
      <w:pPr>
        <w:tabs>
          <w:tab w:val="num" w:pos="5040"/>
        </w:tabs>
        <w:ind w:left="5040" w:hanging="360"/>
      </w:pPr>
      <w:rPr>
        <w:rFonts w:ascii="Arial" w:hAnsi="Arial" w:hint="default"/>
      </w:rPr>
    </w:lvl>
    <w:lvl w:ilvl="7" w:tplc="97B6A0A0" w:tentative="1">
      <w:start w:val="1"/>
      <w:numFmt w:val="bullet"/>
      <w:lvlText w:val="•"/>
      <w:lvlJc w:val="left"/>
      <w:pPr>
        <w:tabs>
          <w:tab w:val="num" w:pos="5760"/>
        </w:tabs>
        <w:ind w:left="5760" w:hanging="360"/>
      </w:pPr>
      <w:rPr>
        <w:rFonts w:ascii="Arial" w:hAnsi="Arial" w:hint="default"/>
      </w:rPr>
    </w:lvl>
    <w:lvl w:ilvl="8" w:tplc="ADECED9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0653A6"/>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3" w15:restartNumberingAfterBreak="0">
    <w:nsid w:val="5EC87015"/>
    <w:multiLevelType w:val="multilevel"/>
    <w:tmpl w:val="E7927D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67FC7782"/>
    <w:multiLevelType w:val="multilevel"/>
    <w:tmpl w:val="F77E57D2"/>
    <w:lvl w:ilvl="0">
      <w:start w:val="1"/>
      <w:numFmt w:val="decimal"/>
      <w:pStyle w:val="slovanseznam"/>
      <w:lvlText w:val="%1."/>
      <w:lvlJc w:val="left"/>
      <w:pPr>
        <w:tabs>
          <w:tab w:val="num" w:pos="300"/>
        </w:tabs>
        <w:ind w:left="300" w:hanging="300"/>
      </w:pPr>
      <w:rPr>
        <w:rFonts w:hint="default"/>
      </w:rPr>
    </w:lvl>
    <w:lvl w:ilvl="1">
      <w:start w:val="1"/>
      <w:numFmt w:val="lowerLetter"/>
      <w:lvlText w:val="%2)"/>
      <w:lvlJc w:val="left"/>
      <w:pPr>
        <w:tabs>
          <w:tab w:val="num" w:pos="607"/>
        </w:tabs>
        <w:ind w:left="607" w:hanging="59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12D2AAA"/>
    <w:multiLevelType w:val="hybridMultilevel"/>
    <w:tmpl w:val="0366C16A"/>
    <w:lvl w:ilvl="0" w:tplc="B8E0E844">
      <w:start w:val="1"/>
      <w:numFmt w:val="bullet"/>
      <w:lvlText w:val="•"/>
      <w:lvlJc w:val="left"/>
      <w:pPr>
        <w:tabs>
          <w:tab w:val="num" w:pos="720"/>
        </w:tabs>
        <w:ind w:left="720" w:hanging="360"/>
      </w:pPr>
      <w:rPr>
        <w:rFonts w:ascii="Arial" w:hAnsi="Arial" w:hint="default"/>
      </w:rPr>
    </w:lvl>
    <w:lvl w:ilvl="1" w:tplc="066A49F6">
      <w:numFmt w:val="bullet"/>
      <w:lvlText w:val="–"/>
      <w:lvlJc w:val="left"/>
      <w:pPr>
        <w:tabs>
          <w:tab w:val="num" w:pos="1440"/>
        </w:tabs>
        <w:ind w:left="1440" w:hanging="360"/>
      </w:pPr>
      <w:rPr>
        <w:rFonts w:ascii="Arial" w:hAnsi="Arial" w:hint="default"/>
      </w:rPr>
    </w:lvl>
    <w:lvl w:ilvl="2" w:tplc="B36E304E" w:tentative="1">
      <w:start w:val="1"/>
      <w:numFmt w:val="bullet"/>
      <w:lvlText w:val="•"/>
      <w:lvlJc w:val="left"/>
      <w:pPr>
        <w:tabs>
          <w:tab w:val="num" w:pos="2160"/>
        </w:tabs>
        <w:ind w:left="2160" w:hanging="360"/>
      </w:pPr>
      <w:rPr>
        <w:rFonts w:ascii="Arial" w:hAnsi="Arial" w:hint="default"/>
      </w:rPr>
    </w:lvl>
    <w:lvl w:ilvl="3" w:tplc="68806372" w:tentative="1">
      <w:start w:val="1"/>
      <w:numFmt w:val="bullet"/>
      <w:lvlText w:val="•"/>
      <w:lvlJc w:val="left"/>
      <w:pPr>
        <w:tabs>
          <w:tab w:val="num" w:pos="2880"/>
        </w:tabs>
        <w:ind w:left="2880" w:hanging="360"/>
      </w:pPr>
      <w:rPr>
        <w:rFonts w:ascii="Arial" w:hAnsi="Arial" w:hint="default"/>
      </w:rPr>
    </w:lvl>
    <w:lvl w:ilvl="4" w:tplc="AC385968" w:tentative="1">
      <w:start w:val="1"/>
      <w:numFmt w:val="bullet"/>
      <w:lvlText w:val="•"/>
      <w:lvlJc w:val="left"/>
      <w:pPr>
        <w:tabs>
          <w:tab w:val="num" w:pos="3600"/>
        </w:tabs>
        <w:ind w:left="3600" w:hanging="360"/>
      </w:pPr>
      <w:rPr>
        <w:rFonts w:ascii="Arial" w:hAnsi="Arial" w:hint="default"/>
      </w:rPr>
    </w:lvl>
    <w:lvl w:ilvl="5" w:tplc="51F81088" w:tentative="1">
      <w:start w:val="1"/>
      <w:numFmt w:val="bullet"/>
      <w:lvlText w:val="•"/>
      <w:lvlJc w:val="left"/>
      <w:pPr>
        <w:tabs>
          <w:tab w:val="num" w:pos="4320"/>
        </w:tabs>
        <w:ind w:left="4320" w:hanging="360"/>
      </w:pPr>
      <w:rPr>
        <w:rFonts w:ascii="Arial" w:hAnsi="Arial" w:hint="default"/>
      </w:rPr>
    </w:lvl>
    <w:lvl w:ilvl="6" w:tplc="9ADEA4A8" w:tentative="1">
      <w:start w:val="1"/>
      <w:numFmt w:val="bullet"/>
      <w:lvlText w:val="•"/>
      <w:lvlJc w:val="left"/>
      <w:pPr>
        <w:tabs>
          <w:tab w:val="num" w:pos="5040"/>
        </w:tabs>
        <w:ind w:left="5040" w:hanging="360"/>
      </w:pPr>
      <w:rPr>
        <w:rFonts w:ascii="Arial" w:hAnsi="Arial" w:hint="default"/>
      </w:rPr>
    </w:lvl>
    <w:lvl w:ilvl="7" w:tplc="6372A872" w:tentative="1">
      <w:start w:val="1"/>
      <w:numFmt w:val="bullet"/>
      <w:lvlText w:val="•"/>
      <w:lvlJc w:val="left"/>
      <w:pPr>
        <w:tabs>
          <w:tab w:val="num" w:pos="5760"/>
        </w:tabs>
        <w:ind w:left="5760" w:hanging="360"/>
      </w:pPr>
      <w:rPr>
        <w:rFonts w:ascii="Arial" w:hAnsi="Arial" w:hint="default"/>
      </w:rPr>
    </w:lvl>
    <w:lvl w:ilvl="8" w:tplc="CFDA57C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6572D06"/>
    <w:multiLevelType w:val="multilevel"/>
    <w:tmpl w:val="47B8AB5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4"/>
  </w:num>
  <w:num w:numId="2">
    <w:abstractNumId w:val="3"/>
  </w:num>
  <w:num w:numId="3">
    <w:abstractNumId w:val="2"/>
  </w:num>
  <w:num w:numId="4">
    <w:abstractNumId w:val="1"/>
  </w:num>
  <w:num w:numId="5">
    <w:abstractNumId w:val="0"/>
  </w:num>
  <w:num w:numId="6">
    <w:abstractNumId w:val="8"/>
  </w:num>
  <w:num w:numId="7">
    <w:abstractNumId w:val="7"/>
  </w:num>
  <w:num w:numId="8">
    <w:abstractNumId w:val="6"/>
  </w:num>
  <w:num w:numId="9">
    <w:abstractNumId w:val="5"/>
  </w:num>
  <w:num w:numId="10">
    <w:abstractNumId w:val="4"/>
  </w:num>
  <w:num w:numId="11">
    <w:abstractNumId w:val="22"/>
  </w:num>
  <w:num w:numId="12">
    <w:abstractNumId w:val="15"/>
  </w:num>
  <w:num w:numId="13">
    <w:abstractNumId w:val="18"/>
  </w:num>
  <w:num w:numId="14">
    <w:abstractNumId w:val="23"/>
  </w:num>
  <w:num w:numId="15">
    <w:abstractNumId w:val="14"/>
  </w:num>
  <w:num w:numId="16">
    <w:abstractNumId w:val="11"/>
  </w:num>
  <w:num w:numId="17">
    <w:abstractNumId w:val="17"/>
  </w:num>
  <w:num w:numId="18">
    <w:abstractNumId w:val="26"/>
  </w:num>
  <w:num w:numId="19">
    <w:abstractNumId w:val="9"/>
  </w:num>
  <w:num w:numId="20">
    <w:abstractNumId w:val="20"/>
  </w:num>
  <w:num w:numId="21">
    <w:abstractNumId w:val="19"/>
  </w:num>
  <w:num w:numId="22">
    <w:abstractNumId w:val="12"/>
  </w:num>
  <w:num w:numId="23">
    <w:abstractNumId w:val="10"/>
  </w:num>
  <w:num w:numId="24">
    <w:abstractNumId w:val="13"/>
  </w:num>
  <w:num w:numId="25">
    <w:abstractNumId w:val="16"/>
  </w:num>
  <w:num w:numId="26">
    <w:abstractNumId w:val="8"/>
  </w:num>
  <w:num w:numId="27">
    <w:abstractNumId w:val="21"/>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E27"/>
    <w:rsid w:val="00001554"/>
    <w:rsid w:val="00002AA9"/>
    <w:rsid w:val="00010ECF"/>
    <w:rsid w:val="000210DD"/>
    <w:rsid w:val="00025113"/>
    <w:rsid w:val="00047533"/>
    <w:rsid w:val="000653F8"/>
    <w:rsid w:val="000751CA"/>
    <w:rsid w:val="00094E59"/>
    <w:rsid w:val="000A5203"/>
    <w:rsid w:val="000B2A6B"/>
    <w:rsid w:val="000C06FC"/>
    <w:rsid w:val="000C71A8"/>
    <w:rsid w:val="00111355"/>
    <w:rsid w:val="00114378"/>
    <w:rsid w:val="00114C40"/>
    <w:rsid w:val="001216A4"/>
    <w:rsid w:val="00124C3B"/>
    <w:rsid w:val="00125467"/>
    <w:rsid w:val="001254B8"/>
    <w:rsid w:val="00125C0E"/>
    <w:rsid w:val="00141749"/>
    <w:rsid w:val="00141863"/>
    <w:rsid w:val="00162AA8"/>
    <w:rsid w:val="00171D97"/>
    <w:rsid w:val="001725AD"/>
    <w:rsid w:val="00185A7A"/>
    <w:rsid w:val="00191090"/>
    <w:rsid w:val="001A3CDC"/>
    <w:rsid w:val="001B081E"/>
    <w:rsid w:val="001B0A20"/>
    <w:rsid w:val="001B58EF"/>
    <w:rsid w:val="001C3073"/>
    <w:rsid w:val="001C5045"/>
    <w:rsid w:val="001D6287"/>
    <w:rsid w:val="001F2A96"/>
    <w:rsid w:val="002074C2"/>
    <w:rsid w:val="00211A9C"/>
    <w:rsid w:val="00214C3C"/>
    <w:rsid w:val="00216FD2"/>
    <w:rsid w:val="0022305F"/>
    <w:rsid w:val="00250E79"/>
    <w:rsid w:val="00253579"/>
    <w:rsid w:val="002552B9"/>
    <w:rsid w:val="002608BB"/>
    <w:rsid w:val="0026423F"/>
    <w:rsid w:val="00265779"/>
    <w:rsid w:val="00282F44"/>
    <w:rsid w:val="0028463C"/>
    <w:rsid w:val="002B72C4"/>
    <w:rsid w:val="002E74A0"/>
    <w:rsid w:val="00303049"/>
    <w:rsid w:val="003054EA"/>
    <w:rsid w:val="00322172"/>
    <w:rsid w:val="00330937"/>
    <w:rsid w:val="00345B98"/>
    <w:rsid w:val="00346DBB"/>
    <w:rsid w:val="00363B76"/>
    <w:rsid w:val="00375DB6"/>
    <w:rsid w:val="003801E8"/>
    <w:rsid w:val="003A26A7"/>
    <w:rsid w:val="003B3056"/>
    <w:rsid w:val="003C6098"/>
    <w:rsid w:val="003C7589"/>
    <w:rsid w:val="003D01DD"/>
    <w:rsid w:val="003F6626"/>
    <w:rsid w:val="003F6D45"/>
    <w:rsid w:val="00403B4E"/>
    <w:rsid w:val="00421B20"/>
    <w:rsid w:val="004477E8"/>
    <w:rsid w:val="00454AF1"/>
    <w:rsid w:val="004732FF"/>
    <w:rsid w:val="00476DF2"/>
    <w:rsid w:val="00477741"/>
    <w:rsid w:val="00493190"/>
    <w:rsid w:val="004A133D"/>
    <w:rsid w:val="004C197D"/>
    <w:rsid w:val="004C2B75"/>
    <w:rsid w:val="004E2F6C"/>
    <w:rsid w:val="004F4ABA"/>
    <w:rsid w:val="004F773D"/>
    <w:rsid w:val="00510880"/>
    <w:rsid w:val="0051585A"/>
    <w:rsid w:val="00515C8E"/>
    <w:rsid w:val="00517A0B"/>
    <w:rsid w:val="0052403C"/>
    <w:rsid w:val="00525330"/>
    <w:rsid w:val="005332F4"/>
    <w:rsid w:val="0054592E"/>
    <w:rsid w:val="00550358"/>
    <w:rsid w:val="00557D23"/>
    <w:rsid w:val="005618C6"/>
    <w:rsid w:val="0057038E"/>
    <w:rsid w:val="00572367"/>
    <w:rsid w:val="00572DA0"/>
    <w:rsid w:val="00580AEB"/>
    <w:rsid w:val="00582BAE"/>
    <w:rsid w:val="005849A6"/>
    <w:rsid w:val="00593969"/>
    <w:rsid w:val="00597F16"/>
    <w:rsid w:val="005A08A8"/>
    <w:rsid w:val="005A428E"/>
    <w:rsid w:val="005D1796"/>
    <w:rsid w:val="005E1F51"/>
    <w:rsid w:val="005E6C60"/>
    <w:rsid w:val="005E75DA"/>
    <w:rsid w:val="005E776A"/>
    <w:rsid w:val="005E7CF3"/>
    <w:rsid w:val="005F013B"/>
    <w:rsid w:val="00603813"/>
    <w:rsid w:val="00610350"/>
    <w:rsid w:val="00610980"/>
    <w:rsid w:val="00637D06"/>
    <w:rsid w:val="006778A2"/>
    <w:rsid w:val="0068485E"/>
    <w:rsid w:val="00690128"/>
    <w:rsid w:val="00697DED"/>
    <w:rsid w:val="006A422A"/>
    <w:rsid w:val="006A5213"/>
    <w:rsid w:val="006A563B"/>
    <w:rsid w:val="006C0D05"/>
    <w:rsid w:val="006C26FD"/>
    <w:rsid w:val="006D67D4"/>
    <w:rsid w:val="006E6FDC"/>
    <w:rsid w:val="006F4EBD"/>
    <w:rsid w:val="00700AA9"/>
    <w:rsid w:val="00703D57"/>
    <w:rsid w:val="007146A1"/>
    <w:rsid w:val="00716A8C"/>
    <w:rsid w:val="00724CCD"/>
    <w:rsid w:val="00752954"/>
    <w:rsid w:val="0075749C"/>
    <w:rsid w:val="00790B25"/>
    <w:rsid w:val="00791CE2"/>
    <w:rsid w:val="007A2C66"/>
    <w:rsid w:val="007A3D78"/>
    <w:rsid w:val="007A3DF6"/>
    <w:rsid w:val="007B73AA"/>
    <w:rsid w:val="007B764C"/>
    <w:rsid w:val="007C2ABF"/>
    <w:rsid w:val="007D1B07"/>
    <w:rsid w:val="007D41F7"/>
    <w:rsid w:val="007E2590"/>
    <w:rsid w:val="007E2B0E"/>
    <w:rsid w:val="008018FA"/>
    <w:rsid w:val="00802C6C"/>
    <w:rsid w:val="008045BB"/>
    <w:rsid w:val="008121F9"/>
    <w:rsid w:val="008145FF"/>
    <w:rsid w:val="0082584F"/>
    <w:rsid w:val="008302A0"/>
    <w:rsid w:val="00830370"/>
    <w:rsid w:val="008422AD"/>
    <w:rsid w:val="00844CA5"/>
    <w:rsid w:val="00862401"/>
    <w:rsid w:val="00870769"/>
    <w:rsid w:val="0087410D"/>
    <w:rsid w:val="008769FE"/>
    <w:rsid w:val="008831A1"/>
    <w:rsid w:val="00897EAD"/>
    <w:rsid w:val="008A1940"/>
    <w:rsid w:val="008A400F"/>
    <w:rsid w:val="008C178F"/>
    <w:rsid w:val="008C63DE"/>
    <w:rsid w:val="008D5FC7"/>
    <w:rsid w:val="008D70B3"/>
    <w:rsid w:val="008F3A54"/>
    <w:rsid w:val="009056E5"/>
    <w:rsid w:val="009112D0"/>
    <w:rsid w:val="00914D73"/>
    <w:rsid w:val="009243E6"/>
    <w:rsid w:val="0093439A"/>
    <w:rsid w:val="00935FDF"/>
    <w:rsid w:val="00953BA5"/>
    <w:rsid w:val="00956CF8"/>
    <w:rsid w:val="00973EC0"/>
    <w:rsid w:val="0098260C"/>
    <w:rsid w:val="009B2745"/>
    <w:rsid w:val="009C0299"/>
    <w:rsid w:val="009D531D"/>
    <w:rsid w:val="009D5423"/>
    <w:rsid w:val="009F3EA7"/>
    <w:rsid w:val="00A02F6A"/>
    <w:rsid w:val="00A165D9"/>
    <w:rsid w:val="00A20059"/>
    <w:rsid w:val="00A266C0"/>
    <w:rsid w:val="00A376A8"/>
    <w:rsid w:val="00A60611"/>
    <w:rsid w:val="00A72CD5"/>
    <w:rsid w:val="00A82A32"/>
    <w:rsid w:val="00A837A9"/>
    <w:rsid w:val="00A85E01"/>
    <w:rsid w:val="00AB02CE"/>
    <w:rsid w:val="00AB3965"/>
    <w:rsid w:val="00B33CD0"/>
    <w:rsid w:val="00B35747"/>
    <w:rsid w:val="00B44998"/>
    <w:rsid w:val="00B618DE"/>
    <w:rsid w:val="00B679B1"/>
    <w:rsid w:val="00B74D4F"/>
    <w:rsid w:val="00B77C83"/>
    <w:rsid w:val="00B8768F"/>
    <w:rsid w:val="00BA0707"/>
    <w:rsid w:val="00BD012F"/>
    <w:rsid w:val="00BD65DC"/>
    <w:rsid w:val="00BE38F4"/>
    <w:rsid w:val="00BE457A"/>
    <w:rsid w:val="00BF3102"/>
    <w:rsid w:val="00C1179A"/>
    <w:rsid w:val="00C14851"/>
    <w:rsid w:val="00C15E4D"/>
    <w:rsid w:val="00C33ED1"/>
    <w:rsid w:val="00C561A5"/>
    <w:rsid w:val="00C56F44"/>
    <w:rsid w:val="00C65AA8"/>
    <w:rsid w:val="00C87B80"/>
    <w:rsid w:val="00C94C83"/>
    <w:rsid w:val="00CA0B4F"/>
    <w:rsid w:val="00CA352C"/>
    <w:rsid w:val="00CA51A9"/>
    <w:rsid w:val="00CA7196"/>
    <w:rsid w:val="00CB2A5B"/>
    <w:rsid w:val="00CB4E31"/>
    <w:rsid w:val="00CD50EB"/>
    <w:rsid w:val="00CF49BF"/>
    <w:rsid w:val="00D05012"/>
    <w:rsid w:val="00D2411F"/>
    <w:rsid w:val="00D30255"/>
    <w:rsid w:val="00D32582"/>
    <w:rsid w:val="00D35B83"/>
    <w:rsid w:val="00D51888"/>
    <w:rsid w:val="00D5321A"/>
    <w:rsid w:val="00D85F7B"/>
    <w:rsid w:val="00D86645"/>
    <w:rsid w:val="00DA498C"/>
    <w:rsid w:val="00DF09F5"/>
    <w:rsid w:val="00DF1E27"/>
    <w:rsid w:val="00DF4DE1"/>
    <w:rsid w:val="00DF5E8D"/>
    <w:rsid w:val="00E01DCB"/>
    <w:rsid w:val="00E07020"/>
    <w:rsid w:val="00E27E91"/>
    <w:rsid w:val="00E460EF"/>
    <w:rsid w:val="00E52812"/>
    <w:rsid w:val="00E65AA9"/>
    <w:rsid w:val="00E71078"/>
    <w:rsid w:val="00E723F0"/>
    <w:rsid w:val="00E81C46"/>
    <w:rsid w:val="00E83519"/>
    <w:rsid w:val="00E83D71"/>
    <w:rsid w:val="00E85D2A"/>
    <w:rsid w:val="00EA5A39"/>
    <w:rsid w:val="00EB1B9F"/>
    <w:rsid w:val="00EB1BDE"/>
    <w:rsid w:val="00EB5C5F"/>
    <w:rsid w:val="00EC11A9"/>
    <w:rsid w:val="00EC6523"/>
    <w:rsid w:val="00EC6AF3"/>
    <w:rsid w:val="00ED0CD4"/>
    <w:rsid w:val="00ED75EF"/>
    <w:rsid w:val="00ED76F3"/>
    <w:rsid w:val="00EE26E0"/>
    <w:rsid w:val="00EF5611"/>
    <w:rsid w:val="00F1625A"/>
    <w:rsid w:val="00F367EA"/>
    <w:rsid w:val="00F615B0"/>
    <w:rsid w:val="00F76B49"/>
    <w:rsid w:val="00F812C0"/>
    <w:rsid w:val="00F906D3"/>
    <w:rsid w:val="00F9412C"/>
    <w:rsid w:val="00F96A4C"/>
    <w:rsid w:val="00FA53E2"/>
    <w:rsid w:val="00FC1794"/>
    <w:rsid w:val="00FC36DB"/>
    <w:rsid w:val="00FC69FD"/>
    <w:rsid w:val="00FE50F2"/>
    <w:rsid w:val="00FE79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6EF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141749"/>
    <w:rPr>
      <w:szCs w:val="24"/>
      <w:lang w:val="en-US"/>
    </w:rPr>
  </w:style>
  <w:style w:type="paragraph" w:styleId="Nadpis1">
    <w:name w:val="heading 1"/>
    <w:basedOn w:val="Normln"/>
    <w:next w:val="Normln"/>
    <w:qFormat/>
    <w:rsid w:val="00214C3C"/>
    <w:pPr>
      <w:keepNext/>
      <w:spacing w:before="240" w:after="60"/>
      <w:outlineLvl w:val="0"/>
    </w:pPr>
    <w:rPr>
      <w:rFonts w:cs="Arial"/>
      <w:b/>
      <w:bCs/>
      <w:kern w:val="32"/>
      <w:sz w:val="28"/>
      <w:szCs w:val="32"/>
    </w:rPr>
  </w:style>
  <w:style w:type="paragraph" w:styleId="Nadpis2">
    <w:name w:val="heading 2"/>
    <w:basedOn w:val="Normln"/>
    <w:next w:val="Normln"/>
    <w:qFormat/>
    <w:rsid w:val="00214C3C"/>
    <w:pPr>
      <w:keepNext/>
      <w:spacing w:before="240" w:after="60"/>
      <w:outlineLvl w:val="1"/>
    </w:pPr>
    <w:rPr>
      <w:rFonts w:cs="Arial"/>
      <w:b/>
      <w:bCs/>
      <w:iCs/>
      <w:sz w:val="24"/>
      <w:szCs w:val="28"/>
    </w:rPr>
  </w:style>
  <w:style w:type="paragraph" w:styleId="Nadpis3">
    <w:name w:val="heading 3"/>
    <w:basedOn w:val="Normln"/>
    <w:next w:val="Normln"/>
    <w:qFormat/>
    <w:rsid w:val="00EB1BDE"/>
    <w:pPr>
      <w:keepNext/>
      <w:spacing w:before="240" w:after="60"/>
      <w:outlineLvl w:val="2"/>
    </w:pPr>
    <w:rPr>
      <w:rFonts w:cs="Arial"/>
      <w:b/>
      <w:bCs/>
      <w:szCs w:val="26"/>
    </w:rPr>
  </w:style>
  <w:style w:type="paragraph" w:styleId="Nadpis6">
    <w:name w:val="heading 6"/>
    <w:basedOn w:val="Normln"/>
    <w:next w:val="Normln"/>
    <w:link w:val="Nadpis6Char"/>
    <w:semiHidden/>
    <w:unhideWhenUsed/>
    <w:qFormat/>
    <w:rsid w:val="005618C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Author"/>
    <w:qFormat/>
    <w:rsid w:val="00E83519"/>
    <w:pPr>
      <w:spacing w:before="240" w:after="60"/>
      <w:jc w:val="center"/>
      <w:outlineLvl w:val="0"/>
    </w:pPr>
    <w:rPr>
      <w:rFonts w:cs="Arial"/>
      <w:b/>
      <w:bCs/>
      <w:kern w:val="28"/>
      <w:sz w:val="32"/>
      <w:szCs w:val="32"/>
    </w:rPr>
  </w:style>
  <w:style w:type="paragraph" w:customStyle="1" w:styleId="Author">
    <w:name w:val="Author"/>
    <w:basedOn w:val="Articlehead"/>
    <w:qFormat/>
    <w:rsid w:val="00B74D4F"/>
    <w:pPr>
      <w:jc w:val="center"/>
    </w:pPr>
    <w:rPr>
      <w:sz w:val="24"/>
    </w:rPr>
  </w:style>
  <w:style w:type="paragraph" w:customStyle="1" w:styleId="Articlehead">
    <w:name w:val="Article head"/>
    <w:basedOn w:val="Normln"/>
    <w:rsid w:val="00D5321A"/>
    <w:pPr>
      <w:ind w:left="1134" w:right="1134"/>
      <w:jc w:val="both"/>
    </w:pPr>
  </w:style>
  <w:style w:type="character" w:customStyle="1" w:styleId="AbstractHeader">
    <w:name w:val="Abstract Header"/>
    <w:basedOn w:val="Standardnpsmoodstavce"/>
    <w:qFormat/>
    <w:rsid w:val="00216FD2"/>
    <w:rPr>
      <w:b/>
    </w:rPr>
  </w:style>
  <w:style w:type="paragraph" w:customStyle="1" w:styleId="Abstract">
    <w:name w:val="Abstract"/>
    <w:basedOn w:val="Articlehead"/>
    <w:qFormat/>
    <w:rsid w:val="00216FD2"/>
    <w:pPr>
      <w:spacing w:before="120"/>
      <w:contextualSpacing/>
    </w:pPr>
  </w:style>
  <w:style w:type="paragraph" w:customStyle="1" w:styleId="Keywords">
    <w:name w:val="Keywords"/>
    <w:basedOn w:val="Articlehead"/>
    <w:uiPriority w:val="11"/>
    <w:qFormat/>
    <w:rsid w:val="00363B76"/>
    <w:pPr>
      <w:spacing w:before="120" w:after="120"/>
      <w:contextualSpacing/>
    </w:pPr>
  </w:style>
  <w:style w:type="character" w:customStyle="1" w:styleId="KeywordsJELHeader">
    <w:name w:val="Keywords+JEL Header"/>
    <w:basedOn w:val="Standardnpsmoodstavce"/>
    <w:qFormat/>
    <w:rsid w:val="00E01DCB"/>
    <w:rPr>
      <w:b/>
    </w:rPr>
  </w:style>
  <w:style w:type="numbering" w:customStyle="1" w:styleId="HeadingNumbers">
    <w:name w:val="Heading Numbers"/>
    <w:basedOn w:val="Bezseznamu"/>
    <w:rsid w:val="005A428E"/>
    <w:pPr>
      <w:numPr>
        <w:numId w:val="15"/>
      </w:numPr>
    </w:pPr>
  </w:style>
  <w:style w:type="paragraph" w:styleId="Zkladntext">
    <w:name w:val="Body Text"/>
    <w:basedOn w:val="Normln"/>
    <w:link w:val="ZkladntextChar"/>
    <w:unhideWhenUsed/>
    <w:qFormat/>
    <w:rsid w:val="00185A7A"/>
    <w:pPr>
      <w:spacing w:before="60" w:after="60"/>
      <w:ind w:firstLine="301"/>
    </w:pPr>
  </w:style>
  <w:style w:type="character" w:customStyle="1" w:styleId="ZkladntextChar">
    <w:name w:val="Základní text Char"/>
    <w:basedOn w:val="Standardnpsmoodstavce"/>
    <w:link w:val="Zkladntext"/>
    <w:rsid w:val="00185A7A"/>
    <w:rPr>
      <w:szCs w:val="24"/>
      <w:lang w:val="en-US"/>
    </w:rPr>
  </w:style>
  <w:style w:type="paragraph" w:styleId="Bibliografie">
    <w:name w:val="Bibliography"/>
    <w:basedOn w:val="Normln"/>
    <w:next w:val="Normln"/>
    <w:uiPriority w:val="37"/>
    <w:unhideWhenUsed/>
    <w:rsid w:val="00B618DE"/>
  </w:style>
  <w:style w:type="character" w:styleId="Siln">
    <w:name w:val="Strong"/>
    <w:aliases w:val="Table First Row"/>
    <w:basedOn w:val="Standardnpsmoodstavce"/>
    <w:uiPriority w:val="22"/>
    <w:qFormat/>
    <w:rsid w:val="00EB1BDE"/>
    <w:rPr>
      <w:b/>
      <w:bCs/>
    </w:rPr>
  </w:style>
  <w:style w:type="paragraph" w:styleId="Seznamsodrkami">
    <w:name w:val="List Bullet"/>
    <w:basedOn w:val="Normln"/>
    <w:qFormat/>
    <w:rsid w:val="00BE38F4"/>
    <w:pPr>
      <w:numPr>
        <w:numId w:val="6"/>
      </w:numPr>
    </w:pPr>
  </w:style>
  <w:style w:type="paragraph" w:styleId="slovanseznam">
    <w:name w:val="List Number"/>
    <w:basedOn w:val="Normln"/>
    <w:qFormat/>
    <w:rsid w:val="00BE38F4"/>
    <w:pPr>
      <w:numPr>
        <w:numId w:val="1"/>
      </w:numPr>
    </w:pPr>
  </w:style>
  <w:style w:type="paragraph" w:customStyle="1" w:styleId="CenteredObject">
    <w:name w:val="Centered Object"/>
    <w:basedOn w:val="Normln"/>
    <w:qFormat/>
    <w:rsid w:val="005618C6"/>
    <w:pPr>
      <w:spacing w:before="120" w:after="120"/>
      <w:jc w:val="center"/>
    </w:pPr>
    <w:rPr>
      <w:b/>
    </w:rPr>
  </w:style>
  <w:style w:type="paragraph" w:styleId="Titulek">
    <w:name w:val="caption"/>
    <w:basedOn w:val="CenteredObject"/>
    <w:next w:val="Normln"/>
    <w:qFormat/>
    <w:rsid w:val="00791CE2"/>
    <w:rPr>
      <w:bCs/>
      <w:szCs w:val="20"/>
    </w:rPr>
  </w:style>
  <w:style w:type="character" w:customStyle="1" w:styleId="CaptionHeader">
    <w:name w:val="Caption Header"/>
    <w:basedOn w:val="Standardnpsmoodstavce"/>
    <w:rsid w:val="005618C6"/>
    <w:rPr>
      <w:rFonts w:ascii="Times New Roman" w:hAnsi="Times New Roman"/>
      <w:b/>
      <w:dstrike w:val="0"/>
      <w:sz w:val="20"/>
      <w:vertAlign w:val="baseline"/>
    </w:rPr>
  </w:style>
  <w:style w:type="paragraph" w:customStyle="1" w:styleId="EquationNumber">
    <w:name w:val="Equation Number"/>
    <w:basedOn w:val="CenteredObject"/>
    <w:rsid w:val="00EB1B9F"/>
    <w:pPr>
      <w:jc w:val="right"/>
    </w:pPr>
  </w:style>
  <w:style w:type="paragraph" w:customStyle="1" w:styleId="Tablecenteredtext">
    <w:name w:val="Table centered text"/>
    <w:basedOn w:val="Normln"/>
    <w:qFormat/>
    <w:rsid w:val="008045BB"/>
    <w:pPr>
      <w:jc w:val="center"/>
    </w:pPr>
  </w:style>
  <w:style w:type="character" w:customStyle="1" w:styleId="TheoremHeader">
    <w:name w:val="Theorem Header"/>
    <w:basedOn w:val="Standardnpsmoodstavce"/>
    <w:rsid w:val="005E1F51"/>
    <w:rPr>
      <w:b/>
      <w:i/>
    </w:rPr>
  </w:style>
  <w:style w:type="paragraph" w:customStyle="1" w:styleId="Proof">
    <w:name w:val="Proof"/>
    <w:basedOn w:val="Normln"/>
    <w:link w:val="ProofChar"/>
    <w:rsid w:val="00214C3C"/>
    <w:pPr>
      <w:spacing w:before="120"/>
      <w:jc w:val="both"/>
    </w:pPr>
  </w:style>
  <w:style w:type="character" w:customStyle="1" w:styleId="ProofChar">
    <w:name w:val="Proof Char"/>
    <w:basedOn w:val="Standardnpsmoodstavce"/>
    <w:link w:val="Proof"/>
    <w:rsid w:val="00214C3C"/>
    <w:rPr>
      <w:szCs w:val="24"/>
      <w:lang w:val="en-US" w:eastAsia="cs-CZ" w:bidi="ar-SA"/>
    </w:rPr>
  </w:style>
  <w:style w:type="character" w:customStyle="1" w:styleId="ProofHeader">
    <w:name w:val="Proof Header"/>
    <w:basedOn w:val="ProofChar"/>
    <w:rsid w:val="005E1F51"/>
    <w:rPr>
      <w:i/>
      <w:szCs w:val="24"/>
      <w:lang w:val="en-US" w:eastAsia="cs-CZ" w:bidi="ar-SA"/>
    </w:rPr>
  </w:style>
  <w:style w:type="paragraph" w:customStyle="1" w:styleId="Theorem">
    <w:name w:val="Theorem"/>
    <w:basedOn w:val="Normln"/>
    <w:rsid w:val="00214C3C"/>
    <w:pPr>
      <w:spacing w:before="120"/>
      <w:jc w:val="both"/>
    </w:pPr>
    <w:rPr>
      <w:i/>
    </w:rPr>
  </w:style>
  <w:style w:type="character" w:customStyle="1" w:styleId="TheoremName">
    <w:name w:val="Theorem Name"/>
    <w:basedOn w:val="Standardnpsmoodstavce"/>
    <w:rsid w:val="004E2F6C"/>
    <w:rPr>
      <w:i/>
    </w:rPr>
  </w:style>
  <w:style w:type="paragraph" w:customStyle="1" w:styleId="Example">
    <w:name w:val="Example"/>
    <w:basedOn w:val="Normln"/>
    <w:rsid w:val="00214C3C"/>
    <w:pPr>
      <w:spacing w:before="120"/>
      <w:jc w:val="both"/>
    </w:pPr>
  </w:style>
  <w:style w:type="character" w:customStyle="1" w:styleId="ExampleHeader">
    <w:name w:val="Example Header"/>
    <w:basedOn w:val="Standardnpsmoodstavce"/>
    <w:rsid w:val="004E2F6C"/>
    <w:rPr>
      <w:b/>
    </w:rPr>
  </w:style>
  <w:style w:type="paragraph" w:customStyle="1" w:styleId="Remark">
    <w:name w:val="Remark"/>
    <w:basedOn w:val="Normln"/>
    <w:rsid w:val="00214C3C"/>
    <w:pPr>
      <w:spacing w:before="120"/>
      <w:jc w:val="both"/>
    </w:pPr>
  </w:style>
  <w:style w:type="character" w:customStyle="1" w:styleId="RemarkHeader">
    <w:name w:val="Remark Header"/>
    <w:basedOn w:val="Standardnpsmoodstavce"/>
    <w:rsid w:val="004E2F6C"/>
    <w:rPr>
      <w:b/>
    </w:rPr>
  </w:style>
  <w:style w:type="paragraph" w:customStyle="1" w:styleId="Acknowledgements">
    <w:name w:val="Acknowledgements"/>
    <w:basedOn w:val="Nadpis2"/>
    <w:next w:val="Normln"/>
    <w:qFormat/>
    <w:rsid w:val="0052403C"/>
  </w:style>
  <w:style w:type="paragraph" w:customStyle="1" w:styleId="ReferencesHeader">
    <w:name w:val="References Header"/>
    <w:basedOn w:val="Nadpis2"/>
    <w:next w:val="Seznamcitac"/>
    <w:qFormat/>
    <w:rsid w:val="0052403C"/>
  </w:style>
  <w:style w:type="paragraph" w:styleId="Textpoznpodarou">
    <w:name w:val="footnote text"/>
    <w:basedOn w:val="Normln"/>
    <w:link w:val="TextpoznpodarouChar"/>
    <w:semiHidden/>
    <w:qFormat/>
    <w:rsid w:val="00363B76"/>
    <w:rPr>
      <w:szCs w:val="20"/>
    </w:rPr>
  </w:style>
  <w:style w:type="paragraph" w:styleId="Seznamcitac">
    <w:name w:val="table of authorities"/>
    <w:basedOn w:val="Normln"/>
    <w:semiHidden/>
    <w:rsid w:val="0052403C"/>
    <w:pPr>
      <w:numPr>
        <w:numId w:val="17"/>
      </w:numPr>
    </w:pPr>
  </w:style>
  <w:style w:type="character" w:styleId="Znakapoznpodarou">
    <w:name w:val="footnote reference"/>
    <w:basedOn w:val="Standardnpsmoodstavce"/>
    <w:semiHidden/>
    <w:qFormat/>
    <w:rsid w:val="005A08A8"/>
    <w:rPr>
      <w:vertAlign w:val="baseline"/>
    </w:rPr>
  </w:style>
  <w:style w:type="paragraph" w:customStyle="1" w:styleId="Classifications">
    <w:name w:val="Classifications"/>
    <w:basedOn w:val="Keywords"/>
    <w:qFormat/>
    <w:rsid w:val="00363B76"/>
  </w:style>
  <w:style w:type="paragraph" w:styleId="Zhlav">
    <w:name w:val="header"/>
    <w:basedOn w:val="Normln"/>
    <w:link w:val="ZhlavChar"/>
    <w:rsid w:val="00557D23"/>
    <w:pPr>
      <w:tabs>
        <w:tab w:val="center" w:pos="4536"/>
        <w:tab w:val="right" w:pos="9072"/>
      </w:tabs>
    </w:pPr>
  </w:style>
  <w:style w:type="character" w:customStyle="1" w:styleId="ZhlavChar">
    <w:name w:val="Záhlaví Char"/>
    <w:basedOn w:val="Standardnpsmoodstavce"/>
    <w:link w:val="Zhlav"/>
    <w:rsid w:val="00557D23"/>
    <w:rPr>
      <w:szCs w:val="24"/>
      <w:lang w:val="en-US"/>
    </w:rPr>
  </w:style>
  <w:style w:type="paragraph" w:styleId="Zpat">
    <w:name w:val="footer"/>
    <w:basedOn w:val="Normln"/>
    <w:link w:val="ZpatChar"/>
    <w:rsid w:val="00557D23"/>
    <w:pPr>
      <w:tabs>
        <w:tab w:val="center" w:pos="4536"/>
        <w:tab w:val="right" w:pos="9072"/>
      </w:tabs>
    </w:pPr>
  </w:style>
  <w:style w:type="character" w:customStyle="1" w:styleId="ZpatChar">
    <w:name w:val="Zápatí Char"/>
    <w:basedOn w:val="Standardnpsmoodstavce"/>
    <w:link w:val="Zpat"/>
    <w:rsid w:val="00557D23"/>
    <w:rPr>
      <w:szCs w:val="24"/>
      <w:lang w:val="en-US"/>
    </w:rPr>
  </w:style>
  <w:style w:type="paragraph" w:styleId="Textbubliny">
    <w:name w:val="Balloon Text"/>
    <w:basedOn w:val="Normln"/>
    <w:link w:val="TextbublinyChar"/>
    <w:rsid w:val="00E83519"/>
    <w:rPr>
      <w:rFonts w:ascii="Tahoma" w:hAnsi="Tahoma" w:cs="Tahoma"/>
      <w:sz w:val="16"/>
      <w:szCs w:val="16"/>
    </w:rPr>
  </w:style>
  <w:style w:type="character" w:customStyle="1" w:styleId="TextbublinyChar">
    <w:name w:val="Text bubliny Char"/>
    <w:basedOn w:val="Standardnpsmoodstavce"/>
    <w:link w:val="Textbubliny"/>
    <w:rsid w:val="00E83519"/>
    <w:rPr>
      <w:rFonts w:ascii="Tahoma" w:hAnsi="Tahoma" w:cs="Tahoma"/>
      <w:sz w:val="16"/>
      <w:szCs w:val="16"/>
      <w:lang w:val="en-US"/>
    </w:rPr>
  </w:style>
  <w:style w:type="character" w:styleId="Hypertextovodkaz">
    <w:name w:val="Hyperlink"/>
    <w:basedOn w:val="Standardnpsmoodstavce"/>
    <w:rsid w:val="00C56F44"/>
    <w:rPr>
      <w:color w:val="0000FF" w:themeColor="hyperlink"/>
      <w:u w:val="single"/>
    </w:rPr>
  </w:style>
  <w:style w:type="character" w:customStyle="1" w:styleId="Nadpis6Char">
    <w:name w:val="Nadpis 6 Char"/>
    <w:basedOn w:val="Standardnpsmoodstavce"/>
    <w:link w:val="Nadpis6"/>
    <w:semiHidden/>
    <w:rsid w:val="005618C6"/>
    <w:rPr>
      <w:rFonts w:asciiTheme="majorHAnsi" w:eastAsiaTheme="majorEastAsia" w:hAnsiTheme="majorHAnsi" w:cstheme="majorBidi"/>
      <w:i/>
      <w:iCs/>
      <w:color w:val="243F60" w:themeColor="accent1" w:themeShade="7F"/>
      <w:szCs w:val="24"/>
      <w:lang w:val="en-US"/>
    </w:rPr>
  </w:style>
  <w:style w:type="paragraph" w:customStyle="1" w:styleId="Odstavecpodgraf">
    <w:name w:val="Odstavec pod graf"/>
    <w:basedOn w:val="Normln"/>
    <w:qFormat/>
    <w:rsid w:val="005618C6"/>
    <w:pPr>
      <w:spacing w:before="120" w:after="120"/>
      <w:jc w:val="center"/>
    </w:pPr>
    <w:rPr>
      <w:szCs w:val="20"/>
    </w:rPr>
  </w:style>
  <w:style w:type="paragraph" w:customStyle="1" w:styleId="Formula-notes">
    <w:name w:val="Formula - notes"/>
    <w:basedOn w:val="Normln"/>
    <w:qFormat/>
    <w:rsid w:val="006C26FD"/>
    <w:pPr>
      <w:jc w:val="both"/>
    </w:pPr>
    <w:rPr>
      <w:sz w:val="22"/>
      <w:szCs w:val="20"/>
      <w:lang w:val="en-GB"/>
    </w:rPr>
  </w:style>
  <w:style w:type="paragraph" w:styleId="Odstavecseseznamem">
    <w:name w:val="List Paragraph"/>
    <w:basedOn w:val="Normln"/>
    <w:uiPriority w:val="34"/>
    <w:rsid w:val="006C26FD"/>
    <w:pPr>
      <w:ind w:left="720"/>
      <w:contextualSpacing/>
    </w:pPr>
  </w:style>
  <w:style w:type="character" w:styleId="Nevyeenzmnka">
    <w:name w:val="Unresolved Mention"/>
    <w:basedOn w:val="Standardnpsmoodstavce"/>
    <w:uiPriority w:val="99"/>
    <w:semiHidden/>
    <w:unhideWhenUsed/>
    <w:rsid w:val="00A165D9"/>
    <w:rPr>
      <w:color w:val="605E5C"/>
      <w:shd w:val="clear" w:color="auto" w:fill="E1DFDD"/>
    </w:rPr>
  </w:style>
  <w:style w:type="paragraph" w:customStyle="1" w:styleId="AP-Paragraph">
    <w:name w:val="AP - Paragraph"/>
    <w:basedOn w:val="Normln"/>
    <w:next w:val="Normln"/>
    <w:rsid w:val="001216A4"/>
    <w:pPr>
      <w:suppressAutoHyphens/>
      <w:spacing w:before="120"/>
      <w:ind w:firstLine="567"/>
      <w:jc w:val="both"/>
    </w:pPr>
    <w:rPr>
      <w:rFonts w:ascii="Cambria" w:hAnsi="Cambria"/>
      <w:sz w:val="22"/>
      <w:lang w:eastAsia="ar-SA"/>
    </w:rPr>
  </w:style>
  <w:style w:type="character" w:styleId="Sledovanodkaz">
    <w:name w:val="FollowedHyperlink"/>
    <w:basedOn w:val="Standardnpsmoodstavce"/>
    <w:semiHidden/>
    <w:unhideWhenUsed/>
    <w:rsid w:val="00025113"/>
    <w:rPr>
      <w:color w:val="800080" w:themeColor="followedHyperlink"/>
      <w:u w:val="single"/>
    </w:rPr>
  </w:style>
  <w:style w:type="paragraph" w:customStyle="1" w:styleId="Paragraphfirst">
    <w:name w:val="Paragraph_first"/>
    <w:basedOn w:val="Normln"/>
    <w:next w:val="Normln"/>
    <w:uiPriority w:val="5"/>
    <w:qFormat/>
    <w:rsid w:val="00FE50F2"/>
    <w:pPr>
      <w:jc w:val="both"/>
    </w:pPr>
    <w:rPr>
      <w:rFonts w:eastAsia="Calibri"/>
      <w:sz w:val="24"/>
      <w:szCs w:val="22"/>
      <w:lang w:val="en-GB" w:eastAsia="en-US"/>
    </w:rPr>
  </w:style>
  <w:style w:type="paragraph" w:customStyle="1" w:styleId="perex">
    <w:name w:val="perex"/>
    <w:basedOn w:val="Normln"/>
    <w:rsid w:val="000210DD"/>
    <w:pPr>
      <w:spacing w:before="100" w:beforeAutospacing="1" w:after="100" w:afterAutospacing="1"/>
    </w:pPr>
    <w:rPr>
      <w:sz w:val="24"/>
      <w:lang w:val="cs-CZ"/>
    </w:rPr>
  </w:style>
  <w:style w:type="character" w:customStyle="1" w:styleId="label-source">
    <w:name w:val="label-source"/>
    <w:basedOn w:val="Standardnpsmoodstavce"/>
    <w:rsid w:val="000210DD"/>
  </w:style>
  <w:style w:type="character" w:customStyle="1" w:styleId="article-date">
    <w:name w:val="article-date"/>
    <w:basedOn w:val="Standardnpsmoodstavce"/>
    <w:rsid w:val="000210DD"/>
  </w:style>
  <w:style w:type="paragraph" w:styleId="Normlnweb">
    <w:name w:val="Normal (Web)"/>
    <w:basedOn w:val="Normln"/>
    <w:uiPriority w:val="99"/>
    <w:semiHidden/>
    <w:unhideWhenUsed/>
    <w:rsid w:val="000210DD"/>
    <w:pPr>
      <w:spacing w:before="100" w:beforeAutospacing="1" w:after="100" w:afterAutospacing="1"/>
    </w:pPr>
    <w:rPr>
      <w:sz w:val="24"/>
      <w:lang w:val="cs-CZ"/>
    </w:rPr>
  </w:style>
  <w:style w:type="character" w:customStyle="1" w:styleId="mol-formatted-datedate">
    <w:name w:val="mol-formatted-date__date"/>
    <w:basedOn w:val="Standardnpsmoodstavce"/>
    <w:rsid w:val="000210DD"/>
  </w:style>
  <w:style w:type="character" w:customStyle="1" w:styleId="mol-formatted-datetime">
    <w:name w:val="mol-formatted-date__time"/>
    <w:basedOn w:val="Standardnpsmoodstavce"/>
    <w:rsid w:val="000210DD"/>
  </w:style>
  <w:style w:type="paragraph" w:customStyle="1" w:styleId="ey">
    <w:name w:val="e_y"/>
    <w:basedOn w:val="Normln"/>
    <w:rsid w:val="000210DD"/>
    <w:pPr>
      <w:spacing w:before="100" w:beforeAutospacing="1" w:after="100" w:afterAutospacing="1"/>
    </w:pPr>
    <w:rPr>
      <w:sz w:val="24"/>
      <w:lang w:val="cs-CZ"/>
    </w:rPr>
  </w:style>
  <w:style w:type="character" w:customStyle="1" w:styleId="atm-text-decorator">
    <w:name w:val="atm-text-decorator"/>
    <w:basedOn w:val="Standardnpsmoodstavce"/>
    <w:rsid w:val="000210DD"/>
  </w:style>
  <w:style w:type="character" w:styleId="Zdraznn">
    <w:name w:val="Emphasis"/>
    <w:basedOn w:val="Standardnpsmoodstavce"/>
    <w:uiPriority w:val="20"/>
    <w:qFormat/>
    <w:rsid w:val="008C178F"/>
    <w:rPr>
      <w:i/>
      <w:iCs/>
    </w:rPr>
  </w:style>
  <w:style w:type="paragraph" w:customStyle="1" w:styleId="info">
    <w:name w:val="info"/>
    <w:basedOn w:val="Normln"/>
    <w:rsid w:val="008C178F"/>
    <w:pPr>
      <w:spacing w:before="100" w:beforeAutospacing="1" w:after="100" w:afterAutospacing="1"/>
    </w:pPr>
    <w:rPr>
      <w:sz w:val="24"/>
      <w:lang w:val="cs-CZ"/>
    </w:rPr>
  </w:style>
  <w:style w:type="character" w:customStyle="1" w:styleId="TextpoznpodarouChar">
    <w:name w:val="Text pozn. pod čarou Char"/>
    <w:basedOn w:val="Standardnpsmoodstavce"/>
    <w:link w:val="Textpoznpodarou"/>
    <w:semiHidden/>
    <w:rsid w:val="00DF09F5"/>
    <w:rPr>
      <w:lang w:val="en-US"/>
    </w:rPr>
  </w:style>
  <w:style w:type="paragraph" w:customStyle="1" w:styleId="Abstracttext">
    <w:name w:val="Abstract text"/>
    <w:basedOn w:val="Normln"/>
    <w:next w:val="Normln"/>
    <w:uiPriority w:val="10"/>
    <w:qFormat/>
    <w:rsid w:val="00956CF8"/>
    <w:pPr>
      <w:ind w:left="425" w:right="425"/>
      <w:jc w:val="both"/>
    </w:pPr>
    <w:rPr>
      <w:rFonts w:eastAsia="Calibri"/>
      <w:szCs w:val="22"/>
      <w:lang w:val="en-GB" w:eastAsia="en-US"/>
    </w:rPr>
  </w:style>
  <w:style w:type="paragraph" w:customStyle="1" w:styleId="Classificationtext">
    <w:name w:val="Classification text"/>
    <w:basedOn w:val="Abstracttext"/>
    <w:next w:val="Normln"/>
    <w:uiPriority w:val="14"/>
    <w:qFormat/>
    <w:rsid w:val="00956CF8"/>
  </w:style>
  <w:style w:type="paragraph" w:customStyle="1" w:styleId="Referenceslist">
    <w:name w:val="References list"/>
    <w:basedOn w:val="Normln"/>
    <w:uiPriority w:val="8"/>
    <w:qFormat/>
    <w:rsid w:val="0054592E"/>
    <w:pPr>
      <w:numPr>
        <w:numId w:val="25"/>
      </w:numPr>
      <w:spacing w:after="120"/>
      <w:jc w:val="both"/>
    </w:pPr>
    <w:rPr>
      <w:rFonts w:eastAsia="Calibri"/>
      <w:sz w:val="24"/>
      <w:szCs w:val="22"/>
      <w:lang w:val="en-GB" w:eastAsia="zh-CN"/>
    </w:rPr>
  </w:style>
  <w:style w:type="paragraph" w:customStyle="1" w:styleId="tlTunKurzvaZa12pt">
    <w:name w:val="Štýl Tučné Kurzíva Za:  12 pt"/>
    <w:basedOn w:val="Normln"/>
    <w:rsid w:val="00716A8C"/>
    <w:pPr>
      <w:spacing w:before="300" w:after="240" w:line="300" w:lineRule="auto"/>
      <w:ind w:firstLine="709"/>
      <w:jc w:val="both"/>
    </w:pPr>
    <w:rPr>
      <w:b/>
      <w:bCs/>
      <w:i/>
      <w:iCs/>
      <w:spacing w:val="20"/>
      <w:sz w:val="24"/>
      <w:szCs w:val="20"/>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13901">
      <w:bodyDiv w:val="1"/>
      <w:marLeft w:val="0"/>
      <w:marRight w:val="0"/>
      <w:marTop w:val="0"/>
      <w:marBottom w:val="0"/>
      <w:divBdr>
        <w:top w:val="none" w:sz="0" w:space="0" w:color="auto"/>
        <w:left w:val="none" w:sz="0" w:space="0" w:color="auto"/>
        <w:bottom w:val="none" w:sz="0" w:space="0" w:color="auto"/>
        <w:right w:val="none" w:sz="0" w:space="0" w:color="auto"/>
      </w:divBdr>
      <w:divsChild>
        <w:div w:id="1142188046">
          <w:marLeft w:val="0"/>
          <w:marRight w:val="0"/>
          <w:marTop w:val="0"/>
          <w:marBottom w:val="0"/>
          <w:divBdr>
            <w:top w:val="none" w:sz="0" w:space="0" w:color="auto"/>
            <w:left w:val="none" w:sz="0" w:space="0" w:color="auto"/>
            <w:bottom w:val="none" w:sz="0" w:space="0" w:color="auto"/>
            <w:right w:val="none" w:sz="0" w:space="0" w:color="auto"/>
          </w:divBdr>
          <w:divsChild>
            <w:div w:id="88161086">
              <w:marLeft w:val="0"/>
              <w:marRight w:val="0"/>
              <w:marTop w:val="0"/>
              <w:marBottom w:val="0"/>
              <w:divBdr>
                <w:top w:val="none" w:sz="0" w:space="0" w:color="auto"/>
                <w:left w:val="none" w:sz="0" w:space="0" w:color="auto"/>
                <w:bottom w:val="none" w:sz="0" w:space="0" w:color="auto"/>
                <w:right w:val="none" w:sz="0" w:space="0" w:color="auto"/>
              </w:divBdr>
              <w:divsChild>
                <w:div w:id="1974629054">
                  <w:marLeft w:val="0"/>
                  <w:marRight w:val="0"/>
                  <w:marTop w:val="0"/>
                  <w:marBottom w:val="0"/>
                  <w:divBdr>
                    <w:top w:val="none" w:sz="0" w:space="0" w:color="auto"/>
                    <w:left w:val="none" w:sz="0" w:space="0" w:color="auto"/>
                    <w:bottom w:val="none" w:sz="0" w:space="0" w:color="auto"/>
                    <w:right w:val="none" w:sz="0" w:space="0" w:color="auto"/>
                  </w:divBdr>
                </w:div>
                <w:div w:id="2179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966921">
      <w:bodyDiv w:val="1"/>
      <w:marLeft w:val="0"/>
      <w:marRight w:val="0"/>
      <w:marTop w:val="0"/>
      <w:marBottom w:val="0"/>
      <w:divBdr>
        <w:top w:val="none" w:sz="0" w:space="0" w:color="auto"/>
        <w:left w:val="none" w:sz="0" w:space="0" w:color="auto"/>
        <w:bottom w:val="none" w:sz="0" w:space="0" w:color="auto"/>
        <w:right w:val="none" w:sz="0" w:space="0" w:color="auto"/>
      </w:divBdr>
    </w:div>
    <w:div w:id="550192289">
      <w:bodyDiv w:val="1"/>
      <w:marLeft w:val="0"/>
      <w:marRight w:val="0"/>
      <w:marTop w:val="0"/>
      <w:marBottom w:val="0"/>
      <w:divBdr>
        <w:top w:val="none" w:sz="0" w:space="0" w:color="auto"/>
        <w:left w:val="none" w:sz="0" w:space="0" w:color="auto"/>
        <w:bottom w:val="none" w:sz="0" w:space="0" w:color="auto"/>
        <w:right w:val="none" w:sz="0" w:space="0" w:color="auto"/>
      </w:divBdr>
    </w:div>
    <w:div w:id="657880219">
      <w:bodyDiv w:val="1"/>
      <w:marLeft w:val="0"/>
      <w:marRight w:val="0"/>
      <w:marTop w:val="0"/>
      <w:marBottom w:val="0"/>
      <w:divBdr>
        <w:top w:val="none" w:sz="0" w:space="0" w:color="auto"/>
        <w:left w:val="none" w:sz="0" w:space="0" w:color="auto"/>
        <w:bottom w:val="none" w:sz="0" w:space="0" w:color="auto"/>
        <w:right w:val="none" w:sz="0" w:space="0" w:color="auto"/>
      </w:divBdr>
    </w:div>
    <w:div w:id="879710601">
      <w:bodyDiv w:val="1"/>
      <w:marLeft w:val="0"/>
      <w:marRight w:val="0"/>
      <w:marTop w:val="0"/>
      <w:marBottom w:val="0"/>
      <w:divBdr>
        <w:top w:val="none" w:sz="0" w:space="0" w:color="auto"/>
        <w:left w:val="none" w:sz="0" w:space="0" w:color="auto"/>
        <w:bottom w:val="none" w:sz="0" w:space="0" w:color="auto"/>
        <w:right w:val="none" w:sz="0" w:space="0" w:color="auto"/>
      </w:divBdr>
    </w:div>
    <w:div w:id="954826409">
      <w:bodyDiv w:val="1"/>
      <w:marLeft w:val="0"/>
      <w:marRight w:val="0"/>
      <w:marTop w:val="0"/>
      <w:marBottom w:val="0"/>
      <w:divBdr>
        <w:top w:val="none" w:sz="0" w:space="0" w:color="auto"/>
        <w:left w:val="none" w:sz="0" w:space="0" w:color="auto"/>
        <w:bottom w:val="none" w:sz="0" w:space="0" w:color="auto"/>
        <w:right w:val="none" w:sz="0" w:space="0" w:color="auto"/>
      </w:divBdr>
    </w:div>
    <w:div w:id="1112555511">
      <w:bodyDiv w:val="1"/>
      <w:marLeft w:val="0"/>
      <w:marRight w:val="0"/>
      <w:marTop w:val="0"/>
      <w:marBottom w:val="0"/>
      <w:divBdr>
        <w:top w:val="none" w:sz="0" w:space="0" w:color="auto"/>
        <w:left w:val="none" w:sz="0" w:space="0" w:color="auto"/>
        <w:bottom w:val="none" w:sz="0" w:space="0" w:color="auto"/>
        <w:right w:val="none" w:sz="0" w:space="0" w:color="auto"/>
      </w:divBdr>
      <w:divsChild>
        <w:div w:id="1162089078">
          <w:marLeft w:val="480"/>
          <w:marRight w:val="0"/>
          <w:marTop w:val="0"/>
          <w:marBottom w:val="0"/>
          <w:divBdr>
            <w:top w:val="none" w:sz="0" w:space="0" w:color="auto"/>
            <w:left w:val="none" w:sz="0" w:space="0" w:color="auto"/>
            <w:bottom w:val="none" w:sz="0" w:space="0" w:color="auto"/>
            <w:right w:val="none" w:sz="0" w:space="0" w:color="auto"/>
          </w:divBdr>
          <w:divsChild>
            <w:div w:id="9972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95652">
      <w:bodyDiv w:val="1"/>
      <w:marLeft w:val="0"/>
      <w:marRight w:val="0"/>
      <w:marTop w:val="0"/>
      <w:marBottom w:val="0"/>
      <w:divBdr>
        <w:top w:val="none" w:sz="0" w:space="0" w:color="auto"/>
        <w:left w:val="none" w:sz="0" w:space="0" w:color="auto"/>
        <w:bottom w:val="none" w:sz="0" w:space="0" w:color="auto"/>
        <w:right w:val="none" w:sz="0" w:space="0" w:color="auto"/>
      </w:divBdr>
      <w:divsChild>
        <w:div w:id="485904688">
          <w:marLeft w:val="0"/>
          <w:marRight w:val="0"/>
          <w:marTop w:val="0"/>
          <w:marBottom w:val="675"/>
          <w:divBdr>
            <w:top w:val="none" w:sz="0" w:space="0" w:color="auto"/>
            <w:left w:val="none" w:sz="0" w:space="0" w:color="auto"/>
            <w:bottom w:val="none" w:sz="0" w:space="0" w:color="auto"/>
            <w:right w:val="none" w:sz="0" w:space="0" w:color="auto"/>
          </w:divBdr>
          <w:divsChild>
            <w:div w:id="800342292">
              <w:marLeft w:val="0"/>
              <w:marRight w:val="0"/>
              <w:marTop w:val="0"/>
              <w:marBottom w:val="330"/>
              <w:divBdr>
                <w:top w:val="none" w:sz="0" w:space="0" w:color="auto"/>
                <w:left w:val="none" w:sz="0" w:space="0" w:color="auto"/>
                <w:bottom w:val="none" w:sz="0" w:space="0" w:color="auto"/>
                <w:right w:val="none" w:sz="0" w:space="0" w:color="auto"/>
              </w:divBdr>
            </w:div>
            <w:div w:id="1114982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09700014">
      <w:bodyDiv w:val="1"/>
      <w:marLeft w:val="0"/>
      <w:marRight w:val="0"/>
      <w:marTop w:val="0"/>
      <w:marBottom w:val="0"/>
      <w:divBdr>
        <w:top w:val="none" w:sz="0" w:space="0" w:color="auto"/>
        <w:left w:val="none" w:sz="0" w:space="0" w:color="auto"/>
        <w:bottom w:val="none" w:sz="0" w:space="0" w:color="auto"/>
        <w:right w:val="none" w:sz="0" w:space="0" w:color="auto"/>
      </w:divBdr>
      <w:divsChild>
        <w:div w:id="496773943">
          <w:marLeft w:val="0"/>
          <w:marRight w:val="0"/>
          <w:marTop w:val="0"/>
          <w:marBottom w:val="0"/>
          <w:divBdr>
            <w:top w:val="none" w:sz="0" w:space="0" w:color="auto"/>
            <w:left w:val="none" w:sz="0" w:space="0" w:color="auto"/>
            <w:bottom w:val="none" w:sz="0" w:space="0" w:color="auto"/>
            <w:right w:val="none" w:sz="0" w:space="0" w:color="auto"/>
          </w:divBdr>
          <w:divsChild>
            <w:div w:id="1718386234">
              <w:marLeft w:val="0"/>
              <w:marRight w:val="0"/>
              <w:marTop w:val="0"/>
              <w:marBottom w:val="0"/>
              <w:divBdr>
                <w:top w:val="none" w:sz="0" w:space="0" w:color="auto"/>
                <w:left w:val="none" w:sz="0" w:space="0" w:color="auto"/>
                <w:bottom w:val="none" w:sz="0" w:space="0" w:color="auto"/>
                <w:right w:val="none" w:sz="0" w:space="0" w:color="auto"/>
              </w:divBdr>
            </w:div>
          </w:divsChild>
        </w:div>
        <w:div w:id="1920089403">
          <w:marLeft w:val="0"/>
          <w:marRight w:val="0"/>
          <w:marTop w:val="0"/>
          <w:marBottom w:val="0"/>
          <w:divBdr>
            <w:top w:val="none" w:sz="0" w:space="0" w:color="auto"/>
            <w:left w:val="none" w:sz="0" w:space="0" w:color="auto"/>
            <w:bottom w:val="none" w:sz="0" w:space="0" w:color="auto"/>
            <w:right w:val="none" w:sz="0" w:space="0" w:color="auto"/>
          </w:divBdr>
        </w:div>
        <w:div w:id="360862147">
          <w:marLeft w:val="0"/>
          <w:marRight w:val="0"/>
          <w:marTop w:val="0"/>
          <w:marBottom w:val="0"/>
          <w:divBdr>
            <w:top w:val="none" w:sz="0" w:space="0" w:color="auto"/>
            <w:left w:val="none" w:sz="0" w:space="0" w:color="auto"/>
            <w:bottom w:val="none" w:sz="0" w:space="0" w:color="auto"/>
            <w:right w:val="none" w:sz="0" w:space="0" w:color="auto"/>
          </w:divBdr>
          <w:divsChild>
            <w:div w:id="1651983672">
              <w:marLeft w:val="0"/>
              <w:marRight w:val="0"/>
              <w:marTop w:val="0"/>
              <w:marBottom w:val="0"/>
              <w:divBdr>
                <w:top w:val="none" w:sz="0" w:space="0" w:color="auto"/>
                <w:left w:val="none" w:sz="0" w:space="0" w:color="auto"/>
                <w:bottom w:val="none" w:sz="0" w:space="0" w:color="auto"/>
                <w:right w:val="none" w:sz="0" w:space="0" w:color="auto"/>
              </w:divBdr>
              <w:divsChild>
                <w:div w:id="581372037">
                  <w:marLeft w:val="0"/>
                  <w:marRight w:val="0"/>
                  <w:marTop w:val="0"/>
                  <w:marBottom w:val="0"/>
                  <w:divBdr>
                    <w:top w:val="none" w:sz="0" w:space="0" w:color="auto"/>
                    <w:left w:val="none" w:sz="0" w:space="0" w:color="auto"/>
                    <w:bottom w:val="none" w:sz="0" w:space="0" w:color="auto"/>
                    <w:right w:val="none" w:sz="0" w:space="0" w:color="auto"/>
                  </w:divBdr>
                  <w:divsChild>
                    <w:div w:id="350618098">
                      <w:marLeft w:val="0"/>
                      <w:marRight w:val="0"/>
                      <w:marTop w:val="0"/>
                      <w:marBottom w:val="0"/>
                      <w:divBdr>
                        <w:top w:val="none" w:sz="0" w:space="0" w:color="auto"/>
                        <w:left w:val="none" w:sz="0" w:space="0" w:color="auto"/>
                        <w:bottom w:val="none" w:sz="0" w:space="0" w:color="auto"/>
                        <w:right w:val="none" w:sz="0" w:space="0" w:color="auto"/>
                      </w:divBdr>
                      <w:divsChild>
                        <w:div w:id="3627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524590">
      <w:bodyDiv w:val="1"/>
      <w:marLeft w:val="0"/>
      <w:marRight w:val="0"/>
      <w:marTop w:val="0"/>
      <w:marBottom w:val="0"/>
      <w:divBdr>
        <w:top w:val="none" w:sz="0" w:space="0" w:color="auto"/>
        <w:left w:val="none" w:sz="0" w:space="0" w:color="auto"/>
        <w:bottom w:val="none" w:sz="0" w:space="0" w:color="auto"/>
        <w:right w:val="none" w:sz="0" w:space="0" w:color="auto"/>
      </w:divBdr>
      <w:divsChild>
        <w:div w:id="106003289">
          <w:marLeft w:val="547"/>
          <w:marRight w:val="0"/>
          <w:marTop w:val="106"/>
          <w:marBottom w:val="0"/>
          <w:divBdr>
            <w:top w:val="none" w:sz="0" w:space="0" w:color="auto"/>
            <w:left w:val="none" w:sz="0" w:space="0" w:color="auto"/>
            <w:bottom w:val="none" w:sz="0" w:space="0" w:color="auto"/>
            <w:right w:val="none" w:sz="0" w:space="0" w:color="auto"/>
          </w:divBdr>
        </w:div>
        <w:div w:id="659308287">
          <w:marLeft w:val="1166"/>
          <w:marRight w:val="0"/>
          <w:marTop w:val="96"/>
          <w:marBottom w:val="0"/>
          <w:divBdr>
            <w:top w:val="none" w:sz="0" w:space="0" w:color="auto"/>
            <w:left w:val="none" w:sz="0" w:space="0" w:color="auto"/>
            <w:bottom w:val="none" w:sz="0" w:space="0" w:color="auto"/>
            <w:right w:val="none" w:sz="0" w:space="0" w:color="auto"/>
          </w:divBdr>
        </w:div>
        <w:div w:id="1596672142">
          <w:marLeft w:val="1800"/>
          <w:marRight w:val="0"/>
          <w:marTop w:val="82"/>
          <w:marBottom w:val="0"/>
          <w:divBdr>
            <w:top w:val="none" w:sz="0" w:space="0" w:color="auto"/>
            <w:left w:val="none" w:sz="0" w:space="0" w:color="auto"/>
            <w:bottom w:val="none" w:sz="0" w:space="0" w:color="auto"/>
            <w:right w:val="none" w:sz="0" w:space="0" w:color="auto"/>
          </w:divBdr>
        </w:div>
        <w:div w:id="646013631">
          <w:marLeft w:val="1800"/>
          <w:marRight w:val="0"/>
          <w:marTop w:val="82"/>
          <w:marBottom w:val="0"/>
          <w:divBdr>
            <w:top w:val="none" w:sz="0" w:space="0" w:color="auto"/>
            <w:left w:val="none" w:sz="0" w:space="0" w:color="auto"/>
            <w:bottom w:val="none" w:sz="0" w:space="0" w:color="auto"/>
            <w:right w:val="none" w:sz="0" w:space="0" w:color="auto"/>
          </w:divBdr>
        </w:div>
      </w:divsChild>
    </w:div>
    <w:div w:id="1436054054">
      <w:bodyDiv w:val="1"/>
      <w:marLeft w:val="0"/>
      <w:marRight w:val="0"/>
      <w:marTop w:val="0"/>
      <w:marBottom w:val="0"/>
      <w:divBdr>
        <w:top w:val="none" w:sz="0" w:space="0" w:color="auto"/>
        <w:left w:val="none" w:sz="0" w:space="0" w:color="auto"/>
        <w:bottom w:val="none" w:sz="0" w:space="0" w:color="auto"/>
        <w:right w:val="none" w:sz="0" w:space="0" w:color="auto"/>
      </w:divBdr>
    </w:div>
    <w:div w:id="1474984090">
      <w:bodyDiv w:val="1"/>
      <w:marLeft w:val="0"/>
      <w:marRight w:val="0"/>
      <w:marTop w:val="0"/>
      <w:marBottom w:val="0"/>
      <w:divBdr>
        <w:top w:val="none" w:sz="0" w:space="0" w:color="auto"/>
        <w:left w:val="none" w:sz="0" w:space="0" w:color="auto"/>
        <w:bottom w:val="none" w:sz="0" w:space="0" w:color="auto"/>
        <w:right w:val="none" w:sz="0" w:space="0" w:color="auto"/>
      </w:divBdr>
      <w:divsChild>
        <w:div w:id="1778939127">
          <w:marLeft w:val="547"/>
          <w:marRight w:val="0"/>
          <w:marTop w:val="154"/>
          <w:marBottom w:val="0"/>
          <w:divBdr>
            <w:top w:val="none" w:sz="0" w:space="0" w:color="auto"/>
            <w:left w:val="none" w:sz="0" w:space="0" w:color="auto"/>
            <w:bottom w:val="none" w:sz="0" w:space="0" w:color="auto"/>
            <w:right w:val="none" w:sz="0" w:space="0" w:color="auto"/>
          </w:divBdr>
        </w:div>
        <w:div w:id="1074090020">
          <w:marLeft w:val="1166"/>
          <w:marRight w:val="0"/>
          <w:marTop w:val="134"/>
          <w:marBottom w:val="0"/>
          <w:divBdr>
            <w:top w:val="none" w:sz="0" w:space="0" w:color="auto"/>
            <w:left w:val="none" w:sz="0" w:space="0" w:color="auto"/>
            <w:bottom w:val="none" w:sz="0" w:space="0" w:color="auto"/>
            <w:right w:val="none" w:sz="0" w:space="0" w:color="auto"/>
          </w:divBdr>
        </w:div>
        <w:div w:id="2017657004">
          <w:marLeft w:val="1166"/>
          <w:marRight w:val="0"/>
          <w:marTop w:val="134"/>
          <w:marBottom w:val="0"/>
          <w:divBdr>
            <w:top w:val="none" w:sz="0" w:space="0" w:color="auto"/>
            <w:left w:val="none" w:sz="0" w:space="0" w:color="auto"/>
            <w:bottom w:val="none" w:sz="0" w:space="0" w:color="auto"/>
            <w:right w:val="none" w:sz="0" w:space="0" w:color="auto"/>
          </w:divBdr>
        </w:div>
        <w:div w:id="404643081">
          <w:marLeft w:val="1166"/>
          <w:marRight w:val="0"/>
          <w:marTop w:val="134"/>
          <w:marBottom w:val="0"/>
          <w:divBdr>
            <w:top w:val="none" w:sz="0" w:space="0" w:color="auto"/>
            <w:left w:val="none" w:sz="0" w:space="0" w:color="auto"/>
            <w:bottom w:val="none" w:sz="0" w:space="0" w:color="auto"/>
            <w:right w:val="none" w:sz="0" w:space="0" w:color="auto"/>
          </w:divBdr>
        </w:div>
      </w:divsChild>
    </w:div>
    <w:div w:id="1591155753">
      <w:bodyDiv w:val="1"/>
      <w:marLeft w:val="0"/>
      <w:marRight w:val="0"/>
      <w:marTop w:val="0"/>
      <w:marBottom w:val="0"/>
      <w:divBdr>
        <w:top w:val="none" w:sz="0" w:space="0" w:color="auto"/>
        <w:left w:val="none" w:sz="0" w:space="0" w:color="auto"/>
        <w:bottom w:val="none" w:sz="0" w:space="0" w:color="auto"/>
        <w:right w:val="none" w:sz="0" w:space="0" w:color="auto"/>
      </w:divBdr>
    </w:div>
    <w:div w:id="1602375752">
      <w:bodyDiv w:val="1"/>
      <w:marLeft w:val="0"/>
      <w:marRight w:val="0"/>
      <w:marTop w:val="0"/>
      <w:marBottom w:val="0"/>
      <w:divBdr>
        <w:top w:val="none" w:sz="0" w:space="0" w:color="auto"/>
        <w:left w:val="none" w:sz="0" w:space="0" w:color="auto"/>
        <w:bottom w:val="none" w:sz="0" w:space="0" w:color="auto"/>
        <w:right w:val="none" w:sz="0" w:space="0" w:color="auto"/>
      </w:divBdr>
    </w:div>
    <w:div w:id="1821800256">
      <w:bodyDiv w:val="1"/>
      <w:marLeft w:val="0"/>
      <w:marRight w:val="0"/>
      <w:marTop w:val="0"/>
      <w:marBottom w:val="0"/>
      <w:divBdr>
        <w:top w:val="none" w:sz="0" w:space="0" w:color="auto"/>
        <w:left w:val="none" w:sz="0" w:space="0" w:color="auto"/>
        <w:bottom w:val="none" w:sz="0" w:space="0" w:color="auto"/>
        <w:right w:val="none" w:sz="0" w:space="0" w:color="auto"/>
      </w:divBdr>
    </w:div>
    <w:div w:id="1838689972">
      <w:bodyDiv w:val="1"/>
      <w:marLeft w:val="0"/>
      <w:marRight w:val="0"/>
      <w:marTop w:val="0"/>
      <w:marBottom w:val="0"/>
      <w:divBdr>
        <w:top w:val="none" w:sz="0" w:space="0" w:color="auto"/>
        <w:left w:val="none" w:sz="0" w:space="0" w:color="auto"/>
        <w:bottom w:val="none" w:sz="0" w:space="0" w:color="auto"/>
        <w:right w:val="none" w:sz="0" w:space="0" w:color="auto"/>
      </w:divBdr>
      <w:divsChild>
        <w:div w:id="379330295">
          <w:marLeft w:val="0"/>
          <w:marRight w:val="0"/>
          <w:marTop w:val="0"/>
          <w:marBottom w:val="300"/>
          <w:divBdr>
            <w:top w:val="none" w:sz="0" w:space="0" w:color="auto"/>
            <w:left w:val="none" w:sz="0" w:space="0" w:color="auto"/>
            <w:bottom w:val="none" w:sz="0" w:space="0" w:color="auto"/>
            <w:right w:val="none" w:sz="0" w:space="0" w:color="auto"/>
          </w:divBdr>
        </w:div>
        <w:div w:id="228394078">
          <w:marLeft w:val="0"/>
          <w:marRight w:val="0"/>
          <w:marTop w:val="150"/>
          <w:marBottom w:val="375"/>
          <w:divBdr>
            <w:top w:val="none" w:sz="0" w:space="0" w:color="auto"/>
            <w:left w:val="none" w:sz="0" w:space="0" w:color="auto"/>
            <w:bottom w:val="none" w:sz="0" w:space="0" w:color="auto"/>
            <w:right w:val="none" w:sz="0" w:space="0" w:color="auto"/>
          </w:divBdr>
        </w:div>
      </w:divsChild>
    </w:div>
    <w:div w:id="1911041280">
      <w:bodyDiv w:val="1"/>
      <w:marLeft w:val="0"/>
      <w:marRight w:val="0"/>
      <w:marTop w:val="0"/>
      <w:marBottom w:val="0"/>
      <w:divBdr>
        <w:top w:val="none" w:sz="0" w:space="0" w:color="auto"/>
        <w:left w:val="none" w:sz="0" w:space="0" w:color="auto"/>
        <w:bottom w:val="none" w:sz="0" w:space="0" w:color="auto"/>
        <w:right w:val="none" w:sz="0" w:space="0" w:color="auto"/>
      </w:divBdr>
      <w:divsChild>
        <w:div w:id="1374309909">
          <w:marLeft w:val="0"/>
          <w:marRight w:val="0"/>
          <w:marTop w:val="0"/>
          <w:marBottom w:val="0"/>
          <w:divBdr>
            <w:top w:val="none" w:sz="0" w:space="0" w:color="auto"/>
            <w:left w:val="none" w:sz="0" w:space="0" w:color="auto"/>
            <w:bottom w:val="none" w:sz="0" w:space="0" w:color="auto"/>
            <w:right w:val="none" w:sz="0" w:space="0" w:color="auto"/>
          </w:divBdr>
          <w:divsChild>
            <w:div w:id="852762431">
              <w:marLeft w:val="0"/>
              <w:marRight w:val="0"/>
              <w:marTop w:val="0"/>
              <w:marBottom w:val="0"/>
              <w:divBdr>
                <w:top w:val="none" w:sz="0" w:space="0" w:color="auto"/>
                <w:left w:val="none" w:sz="0" w:space="0" w:color="auto"/>
                <w:bottom w:val="none" w:sz="0" w:space="0" w:color="auto"/>
                <w:right w:val="none" w:sz="0" w:space="0" w:color="auto"/>
              </w:divBdr>
              <w:divsChild>
                <w:div w:id="367878243">
                  <w:marLeft w:val="0"/>
                  <w:marRight w:val="0"/>
                  <w:marTop w:val="0"/>
                  <w:marBottom w:val="0"/>
                  <w:divBdr>
                    <w:top w:val="none" w:sz="0" w:space="0" w:color="auto"/>
                    <w:left w:val="none" w:sz="0" w:space="0" w:color="auto"/>
                    <w:bottom w:val="none" w:sz="0" w:space="0" w:color="auto"/>
                    <w:right w:val="none" w:sz="0" w:space="0" w:color="auto"/>
                  </w:divBdr>
                </w:div>
                <w:div w:id="17860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36633">
      <w:bodyDiv w:val="1"/>
      <w:marLeft w:val="0"/>
      <w:marRight w:val="0"/>
      <w:marTop w:val="0"/>
      <w:marBottom w:val="0"/>
      <w:divBdr>
        <w:top w:val="none" w:sz="0" w:space="0" w:color="auto"/>
        <w:left w:val="none" w:sz="0" w:space="0" w:color="auto"/>
        <w:bottom w:val="none" w:sz="0" w:space="0" w:color="auto"/>
        <w:right w:val="none" w:sz="0" w:space="0" w:color="auto"/>
      </w:divBdr>
    </w:div>
    <w:div w:id="2031487691">
      <w:bodyDiv w:val="1"/>
      <w:marLeft w:val="0"/>
      <w:marRight w:val="0"/>
      <w:marTop w:val="0"/>
      <w:marBottom w:val="0"/>
      <w:divBdr>
        <w:top w:val="none" w:sz="0" w:space="0" w:color="auto"/>
        <w:left w:val="none" w:sz="0" w:space="0" w:color="auto"/>
        <w:bottom w:val="none" w:sz="0" w:space="0" w:color="auto"/>
        <w:right w:val="none" w:sz="0" w:space="0" w:color="auto"/>
      </w:divBdr>
      <w:divsChild>
        <w:div w:id="970404237">
          <w:marLeft w:val="0"/>
          <w:marRight w:val="0"/>
          <w:marTop w:val="0"/>
          <w:marBottom w:val="0"/>
          <w:divBdr>
            <w:top w:val="none" w:sz="0" w:space="0" w:color="auto"/>
            <w:left w:val="none" w:sz="0" w:space="0" w:color="auto"/>
            <w:bottom w:val="none" w:sz="0" w:space="0" w:color="auto"/>
            <w:right w:val="none" w:sz="0" w:space="0" w:color="auto"/>
          </w:divBdr>
          <w:divsChild>
            <w:div w:id="506746367">
              <w:marLeft w:val="0"/>
              <w:marRight w:val="0"/>
              <w:marTop w:val="0"/>
              <w:marBottom w:val="0"/>
              <w:divBdr>
                <w:top w:val="none" w:sz="0" w:space="0" w:color="auto"/>
                <w:left w:val="none" w:sz="0" w:space="0" w:color="auto"/>
                <w:bottom w:val="none" w:sz="0" w:space="0" w:color="auto"/>
                <w:right w:val="none" w:sz="0" w:space="0" w:color="auto"/>
              </w:divBdr>
              <w:divsChild>
                <w:div w:id="1005597187">
                  <w:marLeft w:val="0"/>
                  <w:marRight w:val="0"/>
                  <w:marTop w:val="0"/>
                  <w:marBottom w:val="0"/>
                  <w:divBdr>
                    <w:top w:val="none" w:sz="0" w:space="0" w:color="auto"/>
                    <w:left w:val="none" w:sz="0" w:space="0" w:color="auto"/>
                    <w:bottom w:val="none" w:sz="0" w:space="0" w:color="auto"/>
                    <w:right w:val="none" w:sz="0" w:space="0" w:color="auto"/>
                  </w:divBdr>
                </w:div>
                <w:div w:id="832336905">
                  <w:marLeft w:val="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vlada.cz/assets/jednani-vlady/programove-prohlaseni/Programove-prohlaseni-vlady-cerven-2018.pdf" TargetMode="External"/><Relationship Id="rId18" Type="http://schemas.openxmlformats.org/officeDocument/2006/relationships/hyperlink" Target="https://doi.org/10.1787/e6387738-e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doi.org/10.1787/pens_outlook-2018-en"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moneyaftergraduation.com/tfsa-explained/" TargetMode="External"/><Relationship Id="rId20" Type="http://schemas.openxmlformats.org/officeDocument/2006/relationships/hyperlink" Target="https://www.mfcr.cz/cs/soukromy-sektor/kapitalovy-trh/podnikani-na-kapitalovem-trhu/2017/zprava-svetove-banky-o-kapitalovem-trhu-297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ata.consilium.europa.eu/doc/document/ST-10654-2017-ADD-1/en/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yperlink" Target="https://www.un.org/esa/desa/papers/2000/esa00dp13.pdf"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vlada.cz/assets/jednani-vlady/programove-prohlaseni/Programove-prohlaseni-vlady-cerven-2018.pdf" TargetMode="External"/><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jaroslav.vostatek@vsfs.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dra\Downloads\TPAVF_sample201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66269036729688"/>
          <c:y val="6.952013073837468E-2"/>
          <c:w val="0.87008689885986479"/>
          <c:h val="0.66937800227801714"/>
        </c:manualLayout>
      </c:layout>
      <c:barChart>
        <c:barDir val="col"/>
        <c:grouping val="clustered"/>
        <c:varyColors val="0"/>
        <c:ser>
          <c:idx val="0"/>
          <c:order val="0"/>
          <c:tx>
            <c:strRef>
              <c:f>List1!$B$1</c:f>
              <c:strCache>
                <c:ptCount val="1"/>
                <c:pt idx="0">
                  <c:v>Sloupec1</c:v>
                </c:pt>
              </c:strCache>
            </c:strRef>
          </c:tx>
          <c:spPr>
            <a:solidFill>
              <a:srgbClr val="5F5F5F"/>
            </a:solidFill>
            <a:ln>
              <a:solidFill>
                <a:srgbClr val="0070C0"/>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9A-460C-B101-4F5114B8A28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9A-460C-B101-4F5114B8A28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9A-460C-B101-4F5114B8A28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9A-460C-B101-4F5114B8A28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9A-460C-B101-4F5114B8A2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Minimum pension today</c:v>
                </c:pt>
                <c:pt idx="1">
                  <c:v>At-risk-of-poverty threshold (couple)</c:v>
                </c:pt>
                <c:pt idx="2">
                  <c:v>Average costs of living in a senior house</c:v>
                </c:pt>
                <c:pt idx="3">
                  <c:v>New basic pension</c:v>
                </c:pt>
                <c:pt idx="4">
                  <c:v>At-risk-of-poverty threshold (single)</c:v>
                </c:pt>
              </c:strCache>
            </c:strRef>
          </c:cat>
          <c:val>
            <c:numRef>
              <c:f>List1!$B$2:$B$6</c:f>
              <c:numCache>
                <c:formatCode>General</c:formatCode>
                <c:ptCount val="5"/>
                <c:pt idx="0">
                  <c:v>4260</c:v>
                </c:pt>
                <c:pt idx="1">
                  <c:v>8972</c:v>
                </c:pt>
                <c:pt idx="2">
                  <c:v>9728</c:v>
                </c:pt>
                <c:pt idx="3">
                  <c:v>10500</c:v>
                </c:pt>
                <c:pt idx="4">
                  <c:v>11963</c:v>
                </c:pt>
              </c:numCache>
            </c:numRef>
          </c:val>
          <c:extLst>
            <c:ext xmlns:c16="http://schemas.microsoft.com/office/drawing/2014/chart" uri="{C3380CC4-5D6E-409C-BE32-E72D297353CC}">
              <c16:uniqueId val="{00000005-AB9A-460C-B101-4F5114B8A282}"/>
            </c:ext>
          </c:extLst>
        </c:ser>
        <c:dLbls>
          <c:showLegendKey val="0"/>
          <c:showVal val="0"/>
          <c:showCatName val="0"/>
          <c:showSerName val="0"/>
          <c:showPercent val="0"/>
          <c:showBubbleSize val="0"/>
        </c:dLbls>
        <c:gapWidth val="219"/>
        <c:overlap val="-27"/>
        <c:axId val="334743608"/>
        <c:axId val="334744920"/>
      </c:barChart>
      <c:catAx>
        <c:axId val="33474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334744920"/>
        <c:crosses val="autoZero"/>
        <c:auto val="1"/>
        <c:lblAlgn val="ctr"/>
        <c:lblOffset val="100"/>
        <c:noMultiLvlLbl val="0"/>
      </c:catAx>
      <c:valAx>
        <c:axId val="334744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334743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List1!$B$1</c:f>
              <c:strCache>
                <c:ptCount val="1"/>
                <c:pt idx="0">
                  <c:v>Řada 1</c:v>
                </c:pt>
              </c:strCache>
            </c:strRef>
          </c:tx>
          <c:spPr>
            <a:solidFill>
              <a:schemeClr val="accent1"/>
            </a:solidFill>
            <a:ln>
              <a:noFill/>
            </a:ln>
            <a:effectLst/>
          </c:spPr>
          <c:invertIfNegative val="0"/>
          <c:cat>
            <c:strRef>
              <c:f>List1!$A$2:$A$44</c:f>
              <c:strCache>
                <c:ptCount val="43"/>
                <c:pt idx="0">
                  <c:v>Czechia (Author)</c:v>
                </c:pt>
                <c:pt idx="1">
                  <c:v>Israel</c:v>
                </c:pt>
                <c:pt idx="2">
                  <c:v>Mexico</c:v>
                </c:pt>
                <c:pt idx="3">
                  <c:v>Lithuania</c:v>
                </c:pt>
                <c:pt idx="4">
                  <c:v>Netherlands</c:v>
                </c:pt>
                <c:pt idx="5">
                  <c:v>Ireland</c:v>
                </c:pt>
                <c:pt idx="6">
                  <c:v>United States</c:v>
                </c:pt>
                <c:pt idx="7">
                  <c:v>Cyprus</c:v>
                </c:pt>
                <c:pt idx="8">
                  <c:v>Croatia</c:v>
                </c:pt>
                <c:pt idx="9">
                  <c:v>Slovakia</c:v>
                </c:pt>
                <c:pt idx="10">
                  <c:v>Slovenia</c:v>
                </c:pt>
                <c:pt idx="11">
                  <c:v>Czechia (OECD)</c:v>
                </c:pt>
                <c:pt idx="12">
                  <c:v>Luxembourg</c:v>
                </c:pt>
                <c:pt idx="13">
                  <c:v>Japan</c:v>
                </c:pt>
                <c:pt idx="14">
                  <c:v>Turkey</c:v>
                </c:pt>
                <c:pt idx="15">
                  <c:v>Malta</c:v>
                </c:pt>
                <c:pt idx="16">
                  <c:v>Iceland</c:v>
                </c:pt>
                <c:pt idx="17">
                  <c:v>Hungary</c:v>
                </c:pt>
                <c:pt idx="18">
                  <c:v>Italy</c:v>
                </c:pt>
                <c:pt idx="19">
                  <c:v>Norway</c:v>
                </c:pt>
                <c:pt idx="20">
                  <c:v>France</c:v>
                </c:pt>
                <c:pt idx="21">
                  <c:v>Estonia</c:v>
                </c:pt>
                <c:pt idx="22">
                  <c:v>Switzerland</c:v>
                </c:pt>
                <c:pt idx="23">
                  <c:v>Canada</c:v>
                </c:pt>
                <c:pt idx="24">
                  <c:v>Australia</c:v>
                </c:pt>
                <c:pt idx="25">
                  <c:v>Portugal</c:v>
                </c:pt>
                <c:pt idx="26">
                  <c:v>Denmark</c:v>
                </c:pt>
                <c:pt idx="27">
                  <c:v>United Kingdom</c:v>
                </c:pt>
                <c:pt idx="28">
                  <c:v>Germany</c:v>
                </c:pt>
                <c:pt idx="29">
                  <c:v>Latvia</c:v>
                </c:pt>
                <c:pt idx="30">
                  <c:v>Finland</c:v>
                </c:pt>
                <c:pt idx="31">
                  <c:v>Korea</c:v>
                </c:pt>
                <c:pt idx="32">
                  <c:v>Romania</c:v>
                </c:pt>
                <c:pt idx="33">
                  <c:v>Bulgaria</c:v>
                </c:pt>
                <c:pt idx="34">
                  <c:v>Poland</c:v>
                </c:pt>
                <c:pt idx="35">
                  <c:v>Belgium</c:v>
                </c:pt>
                <c:pt idx="36">
                  <c:v>Spain</c:v>
                </c:pt>
                <c:pt idx="37">
                  <c:v>Austria</c:v>
                </c:pt>
                <c:pt idx="38">
                  <c:v>Greece</c:v>
                </c:pt>
                <c:pt idx="39">
                  <c:v>Chile</c:v>
                </c:pt>
                <c:pt idx="40">
                  <c:v>New Zealand</c:v>
                </c:pt>
                <c:pt idx="41">
                  <c:v>Sweden</c:v>
                </c:pt>
                <c:pt idx="42">
                  <c:v>Colombia</c:v>
                </c:pt>
              </c:strCache>
            </c:strRef>
          </c:cat>
          <c:val>
            <c:numRef>
              <c:f>List1!$B$2:$B$44</c:f>
              <c:numCache>
                <c:formatCode>0%</c:formatCode>
                <c:ptCount val="43"/>
                <c:pt idx="1">
                  <c:v>0.53</c:v>
                </c:pt>
                <c:pt idx="2">
                  <c:v>0.51</c:v>
                </c:pt>
                <c:pt idx="3">
                  <c:v>0.49</c:v>
                </c:pt>
                <c:pt idx="4">
                  <c:v>0.48</c:v>
                </c:pt>
                <c:pt idx="5">
                  <c:v>0.42</c:v>
                </c:pt>
                <c:pt idx="6">
                  <c:v>0.41</c:v>
                </c:pt>
                <c:pt idx="7">
                  <c:v>0.4</c:v>
                </c:pt>
                <c:pt idx="8">
                  <c:v>0.4</c:v>
                </c:pt>
                <c:pt idx="9">
                  <c:v>0.36</c:v>
                </c:pt>
                <c:pt idx="10">
                  <c:v>0.36</c:v>
                </c:pt>
                <c:pt idx="12">
                  <c:v>0.33</c:v>
                </c:pt>
                <c:pt idx="13">
                  <c:v>0.31</c:v>
                </c:pt>
                <c:pt idx="14">
                  <c:v>0.31</c:v>
                </c:pt>
                <c:pt idx="15">
                  <c:v>0.31</c:v>
                </c:pt>
                <c:pt idx="16">
                  <c:v>0.3</c:v>
                </c:pt>
                <c:pt idx="17">
                  <c:v>0.3</c:v>
                </c:pt>
                <c:pt idx="18">
                  <c:v>0.28999999999999998</c:v>
                </c:pt>
                <c:pt idx="19">
                  <c:v>0.28999999999999998</c:v>
                </c:pt>
                <c:pt idx="20">
                  <c:v>0.28000000000000003</c:v>
                </c:pt>
                <c:pt idx="21">
                  <c:v>0.26</c:v>
                </c:pt>
                <c:pt idx="22">
                  <c:v>0.26</c:v>
                </c:pt>
                <c:pt idx="23">
                  <c:v>0.25</c:v>
                </c:pt>
                <c:pt idx="24">
                  <c:v>0.25</c:v>
                </c:pt>
                <c:pt idx="25">
                  <c:v>0.25</c:v>
                </c:pt>
                <c:pt idx="26">
                  <c:v>0.24</c:v>
                </c:pt>
                <c:pt idx="27">
                  <c:v>0.24</c:v>
                </c:pt>
                <c:pt idx="28">
                  <c:v>0.21</c:v>
                </c:pt>
                <c:pt idx="29">
                  <c:v>0.2</c:v>
                </c:pt>
                <c:pt idx="30">
                  <c:v>0.2</c:v>
                </c:pt>
                <c:pt idx="31">
                  <c:v>0.2</c:v>
                </c:pt>
                <c:pt idx="32">
                  <c:v>0.19</c:v>
                </c:pt>
                <c:pt idx="33">
                  <c:v>0.18</c:v>
                </c:pt>
                <c:pt idx="34">
                  <c:v>0.17</c:v>
                </c:pt>
                <c:pt idx="35">
                  <c:v>0.16</c:v>
                </c:pt>
                <c:pt idx="36">
                  <c:v>0.16</c:v>
                </c:pt>
                <c:pt idx="37">
                  <c:v>0.15</c:v>
                </c:pt>
                <c:pt idx="38">
                  <c:v>0.12</c:v>
                </c:pt>
                <c:pt idx="39">
                  <c:v>0.12</c:v>
                </c:pt>
                <c:pt idx="40">
                  <c:v>0.1</c:v>
                </c:pt>
                <c:pt idx="41">
                  <c:v>0.08</c:v>
                </c:pt>
                <c:pt idx="42">
                  <c:v>0</c:v>
                </c:pt>
              </c:numCache>
            </c:numRef>
          </c:val>
          <c:extLst>
            <c:ext xmlns:c16="http://schemas.microsoft.com/office/drawing/2014/chart" uri="{C3380CC4-5D6E-409C-BE32-E72D297353CC}">
              <c16:uniqueId val="{00000000-25A9-43B1-BAC3-175E10C0670D}"/>
            </c:ext>
          </c:extLst>
        </c:ser>
        <c:ser>
          <c:idx val="1"/>
          <c:order val="1"/>
          <c:tx>
            <c:strRef>
              <c:f>List1!$C$1</c:f>
              <c:strCache>
                <c:ptCount val="1"/>
                <c:pt idx="0">
                  <c:v>Řada 2</c:v>
                </c:pt>
              </c:strCache>
            </c:strRef>
          </c:tx>
          <c:spPr>
            <a:solidFill>
              <a:schemeClr val="tx1"/>
            </a:solidFill>
            <a:ln>
              <a:noFill/>
            </a:ln>
            <a:effectLst/>
          </c:spPr>
          <c:invertIfNegative val="0"/>
          <c:cat>
            <c:strRef>
              <c:f>List1!$A$2:$A$44</c:f>
              <c:strCache>
                <c:ptCount val="43"/>
                <c:pt idx="0">
                  <c:v>Czechia (Author)</c:v>
                </c:pt>
                <c:pt idx="1">
                  <c:v>Israel</c:v>
                </c:pt>
                <c:pt idx="2">
                  <c:v>Mexico</c:v>
                </c:pt>
                <c:pt idx="3">
                  <c:v>Lithuania</c:v>
                </c:pt>
                <c:pt idx="4">
                  <c:v>Netherlands</c:v>
                </c:pt>
                <c:pt idx="5">
                  <c:v>Ireland</c:v>
                </c:pt>
                <c:pt idx="6">
                  <c:v>United States</c:v>
                </c:pt>
                <c:pt idx="7">
                  <c:v>Cyprus</c:v>
                </c:pt>
                <c:pt idx="8">
                  <c:v>Croatia</c:v>
                </c:pt>
                <c:pt idx="9">
                  <c:v>Slovakia</c:v>
                </c:pt>
                <c:pt idx="10">
                  <c:v>Slovenia</c:v>
                </c:pt>
                <c:pt idx="11">
                  <c:v>Czechia (OECD)</c:v>
                </c:pt>
                <c:pt idx="12">
                  <c:v>Luxembourg</c:v>
                </c:pt>
                <c:pt idx="13">
                  <c:v>Japan</c:v>
                </c:pt>
                <c:pt idx="14">
                  <c:v>Turkey</c:v>
                </c:pt>
                <c:pt idx="15">
                  <c:v>Malta</c:v>
                </c:pt>
                <c:pt idx="16">
                  <c:v>Iceland</c:v>
                </c:pt>
                <c:pt idx="17">
                  <c:v>Hungary</c:v>
                </c:pt>
                <c:pt idx="18">
                  <c:v>Italy</c:v>
                </c:pt>
                <c:pt idx="19">
                  <c:v>Norway</c:v>
                </c:pt>
                <c:pt idx="20">
                  <c:v>France</c:v>
                </c:pt>
                <c:pt idx="21">
                  <c:v>Estonia</c:v>
                </c:pt>
                <c:pt idx="22">
                  <c:v>Switzerland</c:v>
                </c:pt>
                <c:pt idx="23">
                  <c:v>Canada</c:v>
                </c:pt>
                <c:pt idx="24">
                  <c:v>Australia</c:v>
                </c:pt>
                <c:pt idx="25">
                  <c:v>Portugal</c:v>
                </c:pt>
                <c:pt idx="26">
                  <c:v>Denmark</c:v>
                </c:pt>
                <c:pt idx="27">
                  <c:v>United Kingdom</c:v>
                </c:pt>
                <c:pt idx="28">
                  <c:v>Germany</c:v>
                </c:pt>
                <c:pt idx="29">
                  <c:v>Latvia</c:v>
                </c:pt>
                <c:pt idx="30">
                  <c:v>Finland</c:v>
                </c:pt>
                <c:pt idx="31">
                  <c:v>Korea</c:v>
                </c:pt>
                <c:pt idx="32">
                  <c:v>Romania</c:v>
                </c:pt>
                <c:pt idx="33">
                  <c:v>Bulgaria</c:v>
                </c:pt>
                <c:pt idx="34">
                  <c:v>Poland</c:v>
                </c:pt>
                <c:pt idx="35">
                  <c:v>Belgium</c:v>
                </c:pt>
                <c:pt idx="36">
                  <c:v>Spain</c:v>
                </c:pt>
                <c:pt idx="37">
                  <c:v>Austria</c:v>
                </c:pt>
                <c:pt idx="38">
                  <c:v>Greece</c:v>
                </c:pt>
                <c:pt idx="39">
                  <c:v>Chile</c:v>
                </c:pt>
                <c:pt idx="40">
                  <c:v>New Zealand</c:v>
                </c:pt>
                <c:pt idx="41">
                  <c:v>Sweden</c:v>
                </c:pt>
                <c:pt idx="42">
                  <c:v>Colombia</c:v>
                </c:pt>
              </c:strCache>
            </c:strRef>
          </c:cat>
          <c:val>
            <c:numRef>
              <c:f>List1!$C$2:$C$44</c:f>
              <c:numCache>
                <c:formatCode>General</c:formatCode>
                <c:ptCount val="43"/>
                <c:pt idx="0" formatCode="0%">
                  <c:v>0.65</c:v>
                </c:pt>
                <c:pt idx="11" formatCode="0%">
                  <c:v>0.35</c:v>
                </c:pt>
              </c:numCache>
            </c:numRef>
          </c:val>
          <c:extLst>
            <c:ext xmlns:c16="http://schemas.microsoft.com/office/drawing/2014/chart" uri="{C3380CC4-5D6E-409C-BE32-E72D297353CC}">
              <c16:uniqueId val="{00000001-25A9-43B1-BAC3-175E10C0670D}"/>
            </c:ext>
          </c:extLst>
        </c:ser>
        <c:dLbls>
          <c:showLegendKey val="0"/>
          <c:showVal val="0"/>
          <c:showCatName val="0"/>
          <c:showSerName val="0"/>
          <c:showPercent val="0"/>
          <c:showBubbleSize val="0"/>
        </c:dLbls>
        <c:gapWidth val="150"/>
        <c:overlap val="100"/>
        <c:axId val="183615240"/>
        <c:axId val="1"/>
      </c:barChart>
      <c:catAx>
        <c:axId val="183615240"/>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183615240"/>
        <c:crosses val="autoZero"/>
        <c:crossBetween val="between"/>
      </c:valAx>
      <c:spPr>
        <a:noFill/>
        <a:ln w="25394">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1962810204279"/>
          <c:y val="6.0991521041282477E-2"/>
          <c:w val="0.82582993098084967"/>
          <c:h val="0.56745562938461702"/>
        </c:manualLayout>
      </c:layout>
      <c:lineChart>
        <c:grouping val="standard"/>
        <c:varyColors val="0"/>
        <c:ser>
          <c:idx val="0"/>
          <c:order val="0"/>
          <c:tx>
            <c:strRef>
              <c:f>List1!$B$1</c:f>
              <c:strCache>
                <c:ptCount val="1"/>
                <c:pt idx="0">
                  <c:v>Basic pension</c:v>
                </c:pt>
              </c:strCache>
            </c:strRef>
          </c:tx>
          <c:spPr>
            <a:ln w="28575" cap="rnd">
              <a:solidFill>
                <a:schemeClr val="accent1"/>
              </a:solidFill>
              <a:prstDash val="dash"/>
              <a:round/>
            </a:ln>
            <a:effectLst/>
          </c:spPr>
          <c:marker>
            <c:symbol val="none"/>
          </c:marker>
          <c:cat>
            <c:numRef>
              <c:f>List1!$A$2:$A$502</c:f>
              <c:numCache>
                <c:formatCode>0%</c:formatCode>
                <c:ptCount val="5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1.1299999999999999</c:v>
                </c:pt>
                <c:pt idx="114">
                  <c:v>1.1399999999999999</c:v>
                </c:pt>
                <c:pt idx="115">
                  <c:v>1.1499999999999999</c:v>
                </c:pt>
                <c:pt idx="116">
                  <c:v>1.1599999999999999</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c:v>
                </c:pt>
                <c:pt idx="164">
                  <c:v>1.64</c:v>
                </c:pt>
                <c:pt idx="165">
                  <c:v>1.65</c:v>
                </c:pt>
                <c:pt idx="166">
                  <c:v>1.66</c:v>
                </c:pt>
                <c:pt idx="167">
                  <c:v>1.67</c:v>
                </c:pt>
                <c:pt idx="168">
                  <c:v>1.68</c:v>
                </c:pt>
                <c:pt idx="169">
                  <c:v>1.69</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c:v>
                </c:pt>
                <c:pt idx="189">
                  <c:v>1.89</c:v>
                </c:pt>
                <c:pt idx="190">
                  <c:v>1.9</c:v>
                </c:pt>
                <c:pt idx="191">
                  <c:v>1.91</c:v>
                </c:pt>
                <c:pt idx="192">
                  <c:v>1.92</c:v>
                </c:pt>
                <c:pt idx="193">
                  <c:v>1.93</c:v>
                </c:pt>
                <c:pt idx="194">
                  <c:v>1.94</c:v>
                </c:pt>
                <c:pt idx="195">
                  <c:v>1.95</c:v>
                </c:pt>
                <c:pt idx="196">
                  <c:v>1.96</c:v>
                </c:pt>
                <c:pt idx="197">
                  <c:v>1.97</c:v>
                </c:pt>
                <c:pt idx="198">
                  <c:v>1.98</c:v>
                </c:pt>
                <c:pt idx="199">
                  <c:v>1.99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2.31</c:v>
                </c:pt>
                <c:pt idx="232">
                  <c:v>2.3199999999999998</c:v>
                </c:pt>
                <c:pt idx="233">
                  <c:v>2.33</c:v>
                </c:pt>
                <c:pt idx="234">
                  <c:v>2.34</c:v>
                </c:pt>
                <c:pt idx="235">
                  <c:v>2.35</c:v>
                </c:pt>
                <c:pt idx="236">
                  <c:v>2.36</c:v>
                </c:pt>
                <c:pt idx="237">
                  <c:v>2.37</c:v>
                </c:pt>
                <c:pt idx="238">
                  <c:v>2.38</c:v>
                </c:pt>
                <c:pt idx="239">
                  <c:v>2.39</c:v>
                </c:pt>
                <c:pt idx="240">
                  <c:v>2.4</c:v>
                </c:pt>
                <c:pt idx="241">
                  <c:v>2.41</c:v>
                </c:pt>
                <c:pt idx="242">
                  <c:v>2.42</c:v>
                </c:pt>
                <c:pt idx="243">
                  <c:v>2.4300000000000002</c:v>
                </c:pt>
                <c:pt idx="244">
                  <c:v>2.44</c:v>
                </c:pt>
                <c:pt idx="245">
                  <c:v>2.4500000000000002</c:v>
                </c:pt>
                <c:pt idx="246">
                  <c:v>2.46</c:v>
                </c:pt>
                <c:pt idx="247">
                  <c:v>2.4700000000000002</c:v>
                </c:pt>
                <c:pt idx="248">
                  <c:v>2.48</c:v>
                </c:pt>
                <c:pt idx="249">
                  <c:v>2.4900000000000002</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c:v>
                </c:pt>
                <c:pt idx="327">
                  <c:v>3.27</c:v>
                </c:pt>
                <c:pt idx="328">
                  <c:v>3.28</c:v>
                </c:pt>
                <c:pt idx="329">
                  <c:v>3.29</c:v>
                </c:pt>
                <c:pt idx="330">
                  <c:v>3.3</c:v>
                </c:pt>
                <c:pt idx="331">
                  <c:v>3.31</c:v>
                </c:pt>
                <c:pt idx="332">
                  <c:v>3.32</c:v>
                </c:pt>
                <c:pt idx="333">
                  <c:v>3.33</c:v>
                </c:pt>
                <c:pt idx="334">
                  <c:v>3.34</c:v>
                </c:pt>
                <c:pt idx="335">
                  <c:v>3.35</c:v>
                </c:pt>
                <c:pt idx="336">
                  <c:v>3.36</c:v>
                </c:pt>
                <c:pt idx="337">
                  <c:v>3.37</c:v>
                </c:pt>
                <c:pt idx="338">
                  <c:v>3.38</c:v>
                </c:pt>
                <c:pt idx="339">
                  <c:v>3.39</c:v>
                </c:pt>
                <c:pt idx="340">
                  <c:v>3.4</c:v>
                </c:pt>
                <c:pt idx="341">
                  <c:v>3.41</c:v>
                </c:pt>
                <c:pt idx="342">
                  <c:v>3.42</c:v>
                </c:pt>
                <c:pt idx="343">
                  <c:v>3.43</c:v>
                </c:pt>
                <c:pt idx="344">
                  <c:v>3.44</c:v>
                </c:pt>
                <c:pt idx="345">
                  <c:v>3.45</c:v>
                </c:pt>
                <c:pt idx="346">
                  <c:v>3.46</c:v>
                </c:pt>
                <c:pt idx="347">
                  <c:v>3.47</c:v>
                </c:pt>
                <c:pt idx="348">
                  <c:v>3.48</c:v>
                </c:pt>
                <c:pt idx="349">
                  <c:v>3.49</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c:v>
                </c:pt>
                <c:pt idx="377">
                  <c:v>3.77</c:v>
                </c:pt>
                <c:pt idx="378">
                  <c:v>3.78</c:v>
                </c:pt>
                <c:pt idx="379">
                  <c:v>3.79</c:v>
                </c:pt>
                <c:pt idx="380">
                  <c:v>3.8</c:v>
                </c:pt>
                <c:pt idx="381">
                  <c:v>3.81</c:v>
                </c:pt>
                <c:pt idx="382">
                  <c:v>3.82</c:v>
                </c:pt>
                <c:pt idx="383">
                  <c:v>3.83</c:v>
                </c:pt>
                <c:pt idx="384">
                  <c:v>3.84</c:v>
                </c:pt>
                <c:pt idx="385">
                  <c:v>3.85</c:v>
                </c:pt>
                <c:pt idx="386">
                  <c:v>3.86</c:v>
                </c:pt>
                <c:pt idx="387">
                  <c:v>3.87</c:v>
                </c:pt>
                <c:pt idx="388">
                  <c:v>3.88</c:v>
                </c:pt>
                <c:pt idx="389">
                  <c:v>3.89</c:v>
                </c:pt>
                <c:pt idx="390">
                  <c:v>3.9</c:v>
                </c:pt>
                <c:pt idx="391">
                  <c:v>3.91</c:v>
                </c:pt>
                <c:pt idx="392">
                  <c:v>3.92</c:v>
                </c:pt>
                <c:pt idx="393">
                  <c:v>3.93</c:v>
                </c:pt>
                <c:pt idx="394">
                  <c:v>3.94</c:v>
                </c:pt>
                <c:pt idx="395">
                  <c:v>3.95</c:v>
                </c:pt>
                <c:pt idx="396">
                  <c:v>3.96</c:v>
                </c:pt>
                <c:pt idx="397">
                  <c:v>3.97</c:v>
                </c:pt>
                <c:pt idx="398">
                  <c:v>3.98</c:v>
                </c:pt>
                <c:pt idx="399">
                  <c:v>3.99</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4.1100000000000003</c:v>
                </c:pt>
                <c:pt idx="412">
                  <c:v>4.12</c:v>
                </c:pt>
                <c:pt idx="413">
                  <c:v>4.13</c:v>
                </c:pt>
                <c:pt idx="414">
                  <c:v>4.1399999999999997</c:v>
                </c:pt>
                <c:pt idx="415">
                  <c:v>4.1500000000000004</c:v>
                </c:pt>
                <c:pt idx="416">
                  <c:v>4.16</c:v>
                </c:pt>
                <c:pt idx="417">
                  <c:v>4.17</c:v>
                </c:pt>
                <c:pt idx="418">
                  <c:v>4.18</c:v>
                </c:pt>
                <c:pt idx="419">
                  <c:v>4.1900000000000004</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4.32</c:v>
                </c:pt>
                <c:pt idx="433">
                  <c:v>4.33</c:v>
                </c:pt>
                <c:pt idx="434">
                  <c:v>4.34</c:v>
                </c:pt>
                <c:pt idx="435">
                  <c:v>4.3499999999999996</c:v>
                </c:pt>
                <c:pt idx="436">
                  <c:v>4.3600000000000003</c:v>
                </c:pt>
                <c:pt idx="437">
                  <c:v>4.37</c:v>
                </c:pt>
                <c:pt idx="438">
                  <c:v>4.38</c:v>
                </c:pt>
                <c:pt idx="439">
                  <c:v>4.3899999999999997</c:v>
                </c:pt>
                <c:pt idx="440">
                  <c:v>4.4000000000000004</c:v>
                </c:pt>
                <c:pt idx="441">
                  <c:v>4.41</c:v>
                </c:pt>
                <c:pt idx="442">
                  <c:v>4.42</c:v>
                </c:pt>
                <c:pt idx="443">
                  <c:v>4.43</c:v>
                </c:pt>
                <c:pt idx="444">
                  <c:v>4.4400000000000004</c:v>
                </c:pt>
                <c:pt idx="445">
                  <c:v>4.45</c:v>
                </c:pt>
                <c:pt idx="446">
                  <c:v>4.46</c:v>
                </c:pt>
                <c:pt idx="447">
                  <c:v>4.47</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4.6100000000000003</c:v>
                </c:pt>
                <c:pt idx="462">
                  <c:v>4.62</c:v>
                </c:pt>
                <c:pt idx="463">
                  <c:v>4.63</c:v>
                </c:pt>
                <c:pt idx="464">
                  <c:v>4.6399999999999997</c:v>
                </c:pt>
                <c:pt idx="465">
                  <c:v>4.6500000000000004</c:v>
                </c:pt>
                <c:pt idx="466">
                  <c:v>4.66</c:v>
                </c:pt>
                <c:pt idx="467">
                  <c:v>4.67</c:v>
                </c:pt>
                <c:pt idx="468">
                  <c:v>4.68</c:v>
                </c:pt>
                <c:pt idx="469">
                  <c:v>4.6900000000000004</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4.82</c:v>
                </c:pt>
                <c:pt idx="483">
                  <c:v>4.83</c:v>
                </c:pt>
                <c:pt idx="484">
                  <c:v>4.84</c:v>
                </c:pt>
                <c:pt idx="485">
                  <c:v>4.8499999999999996</c:v>
                </c:pt>
                <c:pt idx="486">
                  <c:v>4.8600000000000003</c:v>
                </c:pt>
                <c:pt idx="487">
                  <c:v>4.87</c:v>
                </c:pt>
                <c:pt idx="488">
                  <c:v>4.88</c:v>
                </c:pt>
                <c:pt idx="489">
                  <c:v>4.8899999999999997</c:v>
                </c:pt>
                <c:pt idx="490">
                  <c:v>4.9000000000000004</c:v>
                </c:pt>
                <c:pt idx="491">
                  <c:v>4.91</c:v>
                </c:pt>
                <c:pt idx="492">
                  <c:v>4.92</c:v>
                </c:pt>
                <c:pt idx="493">
                  <c:v>4.93</c:v>
                </c:pt>
                <c:pt idx="494">
                  <c:v>4.9400000000000004</c:v>
                </c:pt>
                <c:pt idx="495">
                  <c:v>4.95</c:v>
                </c:pt>
                <c:pt idx="496">
                  <c:v>4.96</c:v>
                </c:pt>
                <c:pt idx="497">
                  <c:v>4.97</c:v>
                </c:pt>
                <c:pt idx="498">
                  <c:v>4.9800000000000004</c:v>
                </c:pt>
                <c:pt idx="499">
                  <c:v>4.99</c:v>
                </c:pt>
                <c:pt idx="500">
                  <c:v>5</c:v>
                </c:pt>
              </c:numCache>
            </c:numRef>
          </c:cat>
          <c:val>
            <c:numRef>
              <c:f>List1!$B$2:$B$502</c:f>
              <c:numCache>
                <c:formatCode>0%</c:formatCode>
                <c:ptCount val="501"/>
                <c:pt idx="0">
                  <c:v>0.31979999999999997</c:v>
                </c:pt>
                <c:pt idx="1">
                  <c:v>0.31979999999999997</c:v>
                </c:pt>
                <c:pt idx="2">
                  <c:v>0.31979999999999997</c:v>
                </c:pt>
                <c:pt idx="3">
                  <c:v>0.31979999999999997</c:v>
                </c:pt>
                <c:pt idx="4">
                  <c:v>0.31979999999999997</c:v>
                </c:pt>
                <c:pt idx="5">
                  <c:v>0.31979999999999997</c:v>
                </c:pt>
                <c:pt idx="6">
                  <c:v>0.31979999999999997</c:v>
                </c:pt>
                <c:pt idx="7">
                  <c:v>0.31979999999999997</c:v>
                </c:pt>
                <c:pt idx="8">
                  <c:v>0.31979999999999997</c:v>
                </c:pt>
                <c:pt idx="9">
                  <c:v>0.31979999999999997</c:v>
                </c:pt>
                <c:pt idx="10">
                  <c:v>0.31979999999999997</c:v>
                </c:pt>
                <c:pt idx="11">
                  <c:v>0.31979999999999997</c:v>
                </c:pt>
                <c:pt idx="12">
                  <c:v>0.31979999999999997</c:v>
                </c:pt>
                <c:pt idx="13">
                  <c:v>0.31979999999999997</c:v>
                </c:pt>
                <c:pt idx="14">
                  <c:v>0.31979999999999997</c:v>
                </c:pt>
                <c:pt idx="15">
                  <c:v>0.31979999999999997</c:v>
                </c:pt>
                <c:pt idx="16">
                  <c:v>0.31979999999999997</c:v>
                </c:pt>
                <c:pt idx="17">
                  <c:v>0.31979999999999997</c:v>
                </c:pt>
                <c:pt idx="18">
                  <c:v>0.31979999999999997</c:v>
                </c:pt>
                <c:pt idx="19">
                  <c:v>0.31979999999999997</c:v>
                </c:pt>
                <c:pt idx="20">
                  <c:v>0.31979999999999997</c:v>
                </c:pt>
                <c:pt idx="21">
                  <c:v>0.31979999999999997</c:v>
                </c:pt>
                <c:pt idx="22">
                  <c:v>0.31979999999999997</c:v>
                </c:pt>
                <c:pt idx="23">
                  <c:v>0.31979999999999997</c:v>
                </c:pt>
                <c:pt idx="24">
                  <c:v>0.31979999999999997</c:v>
                </c:pt>
                <c:pt idx="25">
                  <c:v>0.31979999999999997</c:v>
                </c:pt>
                <c:pt idx="26">
                  <c:v>0.31979999999999997</c:v>
                </c:pt>
                <c:pt idx="27">
                  <c:v>0.31979999999999997</c:v>
                </c:pt>
                <c:pt idx="28">
                  <c:v>0.31979999999999997</c:v>
                </c:pt>
                <c:pt idx="29">
                  <c:v>0.31979999999999997</c:v>
                </c:pt>
                <c:pt idx="30">
                  <c:v>0.31979999999999997</c:v>
                </c:pt>
                <c:pt idx="31">
                  <c:v>0.31979999999999997</c:v>
                </c:pt>
                <c:pt idx="32">
                  <c:v>0.31979999999999997</c:v>
                </c:pt>
                <c:pt idx="33">
                  <c:v>0.31979999999999997</c:v>
                </c:pt>
                <c:pt idx="34">
                  <c:v>0.31979999999999997</c:v>
                </c:pt>
                <c:pt idx="35">
                  <c:v>0.31979999999999997</c:v>
                </c:pt>
                <c:pt idx="36">
                  <c:v>0.31979999999999997</c:v>
                </c:pt>
                <c:pt idx="37">
                  <c:v>0.31979999999999997</c:v>
                </c:pt>
                <c:pt idx="38">
                  <c:v>0.31979999999999997</c:v>
                </c:pt>
                <c:pt idx="39">
                  <c:v>0.31979999999999997</c:v>
                </c:pt>
                <c:pt idx="40">
                  <c:v>0.31979999999999997</c:v>
                </c:pt>
                <c:pt idx="41">
                  <c:v>0.31979999999999997</c:v>
                </c:pt>
                <c:pt idx="42">
                  <c:v>0.31979999999999997</c:v>
                </c:pt>
                <c:pt idx="43">
                  <c:v>0.31979999999999997</c:v>
                </c:pt>
                <c:pt idx="44">
                  <c:v>0.31979999999999997</c:v>
                </c:pt>
                <c:pt idx="45">
                  <c:v>0.31979999999999997</c:v>
                </c:pt>
                <c:pt idx="46">
                  <c:v>0.31979999999999997</c:v>
                </c:pt>
                <c:pt idx="47">
                  <c:v>0.31979999999999997</c:v>
                </c:pt>
                <c:pt idx="48">
                  <c:v>0.31979999999999997</c:v>
                </c:pt>
                <c:pt idx="49">
                  <c:v>0.31979999999999997</c:v>
                </c:pt>
                <c:pt idx="50">
                  <c:v>0.31979999999999997</c:v>
                </c:pt>
                <c:pt idx="51">
                  <c:v>0.31979999999999997</c:v>
                </c:pt>
                <c:pt idx="52">
                  <c:v>0.31979999999999997</c:v>
                </c:pt>
                <c:pt idx="53">
                  <c:v>0.31979999999999997</c:v>
                </c:pt>
                <c:pt idx="54">
                  <c:v>0.31979999999999997</c:v>
                </c:pt>
                <c:pt idx="55">
                  <c:v>0.31979999999999997</c:v>
                </c:pt>
                <c:pt idx="56">
                  <c:v>0.31979999999999997</c:v>
                </c:pt>
                <c:pt idx="57">
                  <c:v>0.31979999999999997</c:v>
                </c:pt>
                <c:pt idx="58">
                  <c:v>0.31979999999999997</c:v>
                </c:pt>
                <c:pt idx="59">
                  <c:v>0.31979999999999997</c:v>
                </c:pt>
                <c:pt idx="60">
                  <c:v>0.31979999999999997</c:v>
                </c:pt>
                <c:pt idx="61">
                  <c:v>0.31979999999999997</c:v>
                </c:pt>
                <c:pt idx="62">
                  <c:v>0.31979999999999997</c:v>
                </c:pt>
                <c:pt idx="63">
                  <c:v>0.31979999999999997</c:v>
                </c:pt>
                <c:pt idx="64">
                  <c:v>0.31979999999999997</c:v>
                </c:pt>
                <c:pt idx="65">
                  <c:v>0.31979999999999997</c:v>
                </c:pt>
                <c:pt idx="66">
                  <c:v>0.31979999999999997</c:v>
                </c:pt>
                <c:pt idx="67">
                  <c:v>0.31979999999999997</c:v>
                </c:pt>
                <c:pt idx="68">
                  <c:v>0.31979999999999997</c:v>
                </c:pt>
                <c:pt idx="69">
                  <c:v>0.31979999999999997</c:v>
                </c:pt>
                <c:pt idx="70">
                  <c:v>0.31979999999999997</c:v>
                </c:pt>
                <c:pt idx="71">
                  <c:v>0.31979999999999997</c:v>
                </c:pt>
                <c:pt idx="72">
                  <c:v>0.31979999999999997</c:v>
                </c:pt>
                <c:pt idx="73">
                  <c:v>0.31979999999999997</c:v>
                </c:pt>
                <c:pt idx="74">
                  <c:v>0.31979999999999997</c:v>
                </c:pt>
                <c:pt idx="75">
                  <c:v>0.31979999999999997</c:v>
                </c:pt>
                <c:pt idx="76">
                  <c:v>0.31979999999999997</c:v>
                </c:pt>
                <c:pt idx="77">
                  <c:v>0.31979999999999997</c:v>
                </c:pt>
                <c:pt idx="78">
                  <c:v>0.31979999999999997</c:v>
                </c:pt>
                <c:pt idx="79">
                  <c:v>0.31979999999999997</c:v>
                </c:pt>
                <c:pt idx="80">
                  <c:v>0.31979999999999997</c:v>
                </c:pt>
                <c:pt idx="81">
                  <c:v>0.31979999999999997</c:v>
                </c:pt>
                <c:pt idx="82">
                  <c:v>0.31979999999999997</c:v>
                </c:pt>
                <c:pt idx="83">
                  <c:v>0.31979999999999997</c:v>
                </c:pt>
                <c:pt idx="84">
                  <c:v>0.31979999999999997</c:v>
                </c:pt>
                <c:pt idx="85">
                  <c:v>0.31979999999999997</c:v>
                </c:pt>
                <c:pt idx="86">
                  <c:v>0.31979999999999997</c:v>
                </c:pt>
                <c:pt idx="87">
                  <c:v>0.31979999999999997</c:v>
                </c:pt>
                <c:pt idx="88">
                  <c:v>0.31979999999999997</c:v>
                </c:pt>
                <c:pt idx="89">
                  <c:v>0.31979999999999997</c:v>
                </c:pt>
                <c:pt idx="90">
                  <c:v>0.31979999999999997</c:v>
                </c:pt>
                <c:pt idx="91">
                  <c:v>0.31979999999999997</c:v>
                </c:pt>
                <c:pt idx="92">
                  <c:v>0.31979999999999997</c:v>
                </c:pt>
                <c:pt idx="93">
                  <c:v>0.31979999999999997</c:v>
                </c:pt>
                <c:pt idx="94">
                  <c:v>0.31979999999999997</c:v>
                </c:pt>
                <c:pt idx="95">
                  <c:v>0.31979999999999997</c:v>
                </c:pt>
                <c:pt idx="96">
                  <c:v>0.31979999999999997</c:v>
                </c:pt>
                <c:pt idx="97">
                  <c:v>0.31979999999999997</c:v>
                </c:pt>
                <c:pt idx="98">
                  <c:v>0.31979999999999997</c:v>
                </c:pt>
                <c:pt idx="99">
                  <c:v>0.31979999999999997</c:v>
                </c:pt>
                <c:pt idx="100">
                  <c:v>0.31979999999999997</c:v>
                </c:pt>
                <c:pt idx="101">
                  <c:v>0.31979999999999997</c:v>
                </c:pt>
                <c:pt idx="102">
                  <c:v>0.31979999999999997</c:v>
                </c:pt>
                <c:pt idx="103">
                  <c:v>0.31979999999999997</c:v>
                </c:pt>
                <c:pt idx="104">
                  <c:v>0.31979999999999997</c:v>
                </c:pt>
                <c:pt idx="105">
                  <c:v>0.31979999999999997</c:v>
                </c:pt>
                <c:pt idx="106">
                  <c:v>0.31979999999999997</c:v>
                </c:pt>
                <c:pt idx="107">
                  <c:v>0.31979999999999997</c:v>
                </c:pt>
                <c:pt idx="108">
                  <c:v>0.31979999999999997</c:v>
                </c:pt>
                <c:pt idx="109">
                  <c:v>0.31979999999999997</c:v>
                </c:pt>
                <c:pt idx="110">
                  <c:v>0.31979999999999997</c:v>
                </c:pt>
                <c:pt idx="111">
                  <c:v>0.31979999999999997</c:v>
                </c:pt>
                <c:pt idx="112">
                  <c:v>0.31979999999999997</c:v>
                </c:pt>
                <c:pt idx="113">
                  <c:v>0.31979999999999997</c:v>
                </c:pt>
                <c:pt idx="114">
                  <c:v>0.31979999999999997</c:v>
                </c:pt>
                <c:pt idx="115">
                  <c:v>0.31979999999999997</c:v>
                </c:pt>
                <c:pt idx="116">
                  <c:v>0.31979999999999997</c:v>
                </c:pt>
                <c:pt idx="117">
                  <c:v>0.31979999999999997</c:v>
                </c:pt>
                <c:pt idx="118">
                  <c:v>0.31979999999999997</c:v>
                </c:pt>
                <c:pt idx="119">
                  <c:v>0.31979999999999997</c:v>
                </c:pt>
                <c:pt idx="120">
                  <c:v>0.31979999999999997</c:v>
                </c:pt>
                <c:pt idx="121">
                  <c:v>0.31979999999999997</c:v>
                </c:pt>
                <c:pt idx="122">
                  <c:v>0.31979999999999997</c:v>
                </c:pt>
                <c:pt idx="123">
                  <c:v>0.31979999999999997</c:v>
                </c:pt>
                <c:pt idx="124">
                  <c:v>0.31979999999999997</c:v>
                </c:pt>
                <c:pt idx="125">
                  <c:v>0.31979999999999997</c:v>
                </c:pt>
                <c:pt idx="126">
                  <c:v>0.31979999999999997</c:v>
                </c:pt>
                <c:pt idx="127">
                  <c:v>0.31979999999999997</c:v>
                </c:pt>
                <c:pt idx="128">
                  <c:v>0.31979999999999997</c:v>
                </c:pt>
                <c:pt idx="129">
                  <c:v>0.31979999999999997</c:v>
                </c:pt>
                <c:pt idx="130">
                  <c:v>0.31979999999999997</c:v>
                </c:pt>
                <c:pt idx="131">
                  <c:v>0.31979999999999997</c:v>
                </c:pt>
                <c:pt idx="132">
                  <c:v>0.31979999999999997</c:v>
                </c:pt>
                <c:pt idx="133">
                  <c:v>0.31979999999999997</c:v>
                </c:pt>
                <c:pt idx="134">
                  <c:v>0.31979999999999997</c:v>
                </c:pt>
                <c:pt idx="135">
                  <c:v>0.31979999999999997</c:v>
                </c:pt>
                <c:pt idx="136">
                  <c:v>0.31979999999999997</c:v>
                </c:pt>
                <c:pt idx="137">
                  <c:v>0.31979999999999997</c:v>
                </c:pt>
                <c:pt idx="138">
                  <c:v>0.31979999999999997</c:v>
                </c:pt>
                <c:pt idx="139">
                  <c:v>0.31979999999999997</c:v>
                </c:pt>
                <c:pt idx="140">
                  <c:v>0.31979999999999997</c:v>
                </c:pt>
                <c:pt idx="141">
                  <c:v>0.31979999999999997</c:v>
                </c:pt>
                <c:pt idx="142">
                  <c:v>0.31979999999999997</c:v>
                </c:pt>
                <c:pt idx="143">
                  <c:v>0.31979999999999997</c:v>
                </c:pt>
                <c:pt idx="144">
                  <c:v>0.31979999999999997</c:v>
                </c:pt>
                <c:pt idx="145">
                  <c:v>0.31979999999999997</c:v>
                </c:pt>
                <c:pt idx="146">
                  <c:v>0.31979999999999997</c:v>
                </c:pt>
                <c:pt idx="147">
                  <c:v>0.31979999999999997</c:v>
                </c:pt>
                <c:pt idx="148">
                  <c:v>0.31979999999999997</c:v>
                </c:pt>
                <c:pt idx="149">
                  <c:v>0.31979999999999997</c:v>
                </c:pt>
                <c:pt idx="150">
                  <c:v>0.31979999999999997</c:v>
                </c:pt>
                <c:pt idx="151">
                  <c:v>0.31979999999999997</c:v>
                </c:pt>
                <c:pt idx="152">
                  <c:v>0.31979999999999997</c:v>
                </c:pt>
                <c:pt idx="153">
                  <c:v>0.31979999999999997</c:v>
                </c:pt>
                <c:pt idx="154">
                  <c:v>0.31979999999999997</c:v>
                </c:pt>
                <c:pt idx="155">
                  <c:v>0.31979999999999997</c:v>
                </c:pt>
                <c:pt idx="156">
                  <c:v>0.31979999999999997</c:v>
                </c:pt>
                <c:pt idx="157">
                  <c:v>0.31979999999999997</c:v>
                </c:pt>
                <c:pt idx="158">
                  <c:v>0.31979999999999997</c:v>
                </c:pt>
                <c:pt idx="159">
                  <c:v>0.31979999999999997</c:v>
                </c:pt>
                <c:pt idx="160">
                  <c:v>0.31979999999999997</c:v>
                </c:pt>
                <c:pt idx="161">
                  <c:v>0.31979999999999997</c:v>
                </c:pt>
                <c:pt idx="162">
                  <c:v>0.31979999999999997</c:v>
                </c:pt>
                <c:pt idx="163">
                  <c:v>0.31979999999999997</c:v>
                </c:pt>
                <c:pt idx="164">
                  <c:v>0.31979999999999997</c:v>
                </c:pt>
                <c:pt idx="165">
                  <c:v>0.31979999999999997</c:v>
                </c:pt>
                <c:pt idx="166">
                  <c:v>0.31979999999999997</c:v>
                </c:pt>
                <c:pt idx="167">
                  <c:v>0.31979999999999997</c:v>
                </c:pt>
                <c:pt idx="168">
                  <c:v>0.31979999999999997</c:v>
                </c:pt>
                <c:pt idx="169">
                  <c:v>0.31979999999999997</c:v>
                </c:pt>
                <c:pt idx="170">
                  <c:v>0.31979999999999997</c:v>
                </c:pt>
                <c:pt idx="171">
                  <c:v>0.31979999999999997</c:v>
                </c:pt>
                <c:pt idx="172">
                  <c:v>0.31979999999999997</c:v>
                </c:pt>
                <c:pt idx="173">
                  <c:v>0.31979999999999997</c:v>
                </c:pt>
                <c:pt idx="174">
                  <c:v>0.31979999999999997</c:v>
                </c:pt>
                <c:pt idx="175">
                  <c:v>0.31979999999999997</c:v>
                </c:pt>
                <c:pt idx="176">
                  <c:v>0.31979999999999997</c:v>
                </c:pt>
                <c:pt idx="177">
                  <c:v>0.31979999999999997</c:v>
                </c:pt>
                <c:pt idx="178">
                  <c:v>0.31979999999999997</c:v>
                </c:pt>
                <c:pt idx="179">
                  <c:v>0.31979999999999997</c:v>
                </c:pt>
                <c:pt idx="180">
                  <c:v>0.31979999999999997</c:v>
                </c:pt>
                <c:pt idx="181">
                  <c:v>0.31979999999999997</c:v>
                </c:pt>
                <c:pt idx="182">
                  <c:v>0.31979999999999997</c:v>
                </c:pt>
                <c:pt idx="183">
                  <c:v>0.31979999999999997</c:v>
                </c:pt>
                <c:pt idx="184">
                  <c:v>0.31979999999999997</c:v>
                </c:pt>
                <c:pt idx="185">
                  <c:v>0.31979999999999997</c:v>
                </c:pt>
                <c:pt idx="186">
                  <c:v>0.31979999999999997</c:v>
                </c:pt>
                <c:pt idx="187">
                  <c:v>0.31979999999999997</c:v>
                </c:pt>
                <c:pt idx="188">
                  <c:v>0.31979999999999997</c:v>
                </c:pt>
                <c:pt idx="189">
                  <c:v>0.31979999999999997</c:v>
                </c:pt>
                <c:pt idx="190">
                  <c:v>0.31979999999999997</c:v>
                </c:pt>
                <c:pt idx="191">
                  <c:v>0.31979999999999997</c:v>
                </c:pt>
                <c:pt idx="192">
                  <c:v>0.31979999999999997</c:v>
                </c:pt>
                <c:pt idx="193">
                  <c:v>0.31979999999999997</c:v>
                </c:pt>
                <c:pt idx="194">
                  <c:v>0.31979999999999997</c:v>
                </c:pt>
                <c:pt idx="195">
                  <c:v>0.31979999999999997</c:v>
                </c:pt>
                <c:pt idx="196">
                  <c:v>0.31979999999999997</c:v>
                </c:pt>
                <c:pt idx="197">
                  <c:v>0.31979999999999997</c:v>
                </c:pt>
                <c:pt idx="198">
                  <c:v>0.31979999999999997</c:v>
                </c:pt>
                <c:pt idx="199">
                  <c:v>0.31979999999999997</c:v>
                </c:pt>
                <c:pt idx="200">
                  <c:v>0.31979999999999997</c:v>
                </c:pt>
                <c:pt idx="201">
                  <c:v>0.31979999999999997</c:v>
                </c:pt>
                <c:pt idx="202">
                  <c:v>0.31979999999999997</c:v>
                </c:pt>
                <c:pt idx="203">
                  <c:v>0.31979999999999997</c:v>
                </c:pt>
                <c:pt idx="204">
                  <c:v>0.31979999999999997</c:v>
                </c:pt>
                <c:pt idx="205">
                  <c:v>0.31979999999999997</c:v>
                </c:pt>
                <c:pt idx="206">
                  <c:v>0.31979999999999997</c:v>
                </c:pt>
                <c:pt idx="207">
                  <c:v>0.31979999999999997</c:v>
                </c:pt>
                <c:pt idx="208">
                  <c:v>0.31979999999999997</c:v>
                </c:pt>
                <c:pt idx="209">
                  <c:v>0.31979999999999997</c:v>
                </c:pt>
                <c:pt idx="210">
                  <c:v>0.31979999999999997</c:v>
                </c:pt>
                <c:pt idx="211">
                  <c:v>0.31979999999999997</c:v>
                </c:pt>
                <c:pt idx="212">
                  <c:v>0.31979999999999997</c:v>
                </c:pt>
                <c:pt idx="213">
                  <c:v>0.31979999999999997</c:v>
                </c:pt>
                <c:pt idx="214">
                  <c:v>0.31979999999999997</c:v>
                </c:pt>
                <c:pt idx="215">
                  <c:v>0.31979999999999997</c:v>
                </c:pt>
                <c:pt idx="216">
                  <c:v>0.31979999999999997</c:v>
                </c:pt>
                <c:pt idx="217">
                  <c:v>0.31979999999999997</c:v>
                </c:pt>
                <c:pt idx="218">
                  <c:v>0.31979999999999997</c:v>
                </c:pt>
                <c:pt idx="219">
                  <c:v>0.31979999999999997</c:v>
                </c:pt>
                <c:pt idx="220">
                  <c:v>0.31979999999999997</c:v>
                </c:pt>
                <c:pt idx="221">
                  <c:v>0.31979999999999997</c:v>
                </c:pt>
                <c:pt idx="222">
                  <c:v>0.31979999999999997</c:v>
                </c:pt>
                <c:pt idx="223">
                  <c:v>0.31979999999999997</c:v>
                </c:pt>
                <c:pt idx="224">
                  <c:v>0.31979999999999997</c:v>
                </c:pt>
                <c:pt idx="225">
                  <c:v>0.31979999999999997</c:v>
                </c:pt>
                <c:pt idx="226">
                  <c:v>0.31979999999999997</c:v>
                </c:pt>
                <c:pt idx="227">
                  <c:v>0.31979999999999997</c:v>
                </c:pt>
                <c:pt idx="228">
                  <c:v>0.31979999999999997</c:v>
                </c:pt>
                <c:pt idx="229">
                  <c:v>0.31979999999999997</c:v>
                </c:pt>
                <c:pt idx="230">
                  <c:v>0.31979999999999997</c:v>
                </c:pt>
                <c:pt idx="231">
                  <c:v>0.31979999999999997</c:v>
                </c:pt>
                <c:pt idx="232">
                  <c:v>0.31979999999999997</c:v>
                </c:pt>
                <c:pt idx="233">
                  <c:v>0.31979999999999997</c:v>
                </c:pt>
                <c:pt idx="234">
                  <c:v>0.31979999999999997</c:v>
                </c:pt>
                <c:pt idx="235">
                  <c:v>0.31979999999999997</c:v>
                </c:pt>
                <c:pt idx="236">
                  <c:v>0.31979999999999997</c:v>
                </c:pt>
                <c:pt idx="237">
                  <c:v>0.31979999999999997</c:v>
                </c:pt>
                <c:pt idx="238">
                  <c:v>0.31979999999999997</c:v>
                </c:pt>
                <c:pt idx="239">
                  <c:v>0.31979999999999997</c:v>
                </c:pt>
                <c:pt idx="240">
                  <c:v>0.31979999999999997</c:v>
                </c:pt>
                <c:pt idx="241">
                  <c:v>0.31979999999999997</c:v>
                </c:pt>
                <c:pt idx="242">
                  <c:v>0.31979999999999997</c:v>
                </c:pt>
                <c:pt idx="243">
                  <c:v>0.31979999999999997</c:v>
                </c:pt>
                <c:pt idx="244">
                  <c:v>0.31979999999999997</c:v>
                </c:pt>
                <c:pt idx="245">
                  <c:v>0.31979999999999997</c:v>
                </c:pt>
                <c:pt idx="246">
                  <c:v>0.31979999999999997</c:v>
                </c:pt>
                <c:pt idx="247">
                  <c:v>0.31979999999999997</c:v>
                </c:pt>
                <c:pt idx="248">
                  <c:v>0.31979999999999997</c:v>
                </c:pt>
                <c:pt idx="249">
                  <c:v>0.31979999999999997</c:v>
                </c:pt>
                <c:pt idx="250">
                  <c:v>0.31979999999999997</c:v>
                </c:pt>
                <c:pt idx="251">
                  <c:v>0.31979999999999997</c:v>
                </c:pt>
                <c:pt idx="252">
                  <c:v>0.31979999999999997</c:v>
                </c:pt>
                <c:pt idx="253">
                  <c:v>0.31979999999999997</c:v>
                </c:pt>
                <c:pt idx="254">
                  <c:v>0.31979999999999997</c:v>
                </c:pt>
                <c:pt idx="255">
                  <c:v>0.31979999999999997</c:v>
                </c:pt>
                <c:pt idx="256">
                  <c:v>0.31979999999999997</c:v>
                </c:pt>
                <c:pt idx="257">
                  <c:v>0.31979999999999997</c:v>
                </c:pt>
                <c:pt idx="258">
                  <c:v>0.31979999999999997</c:v>
                </c:pt>
                <c:pt idx="259">
                  <c:v>0.31979999999999997</c:v>
                </c:pt>
                <c:pt idx="260">
                  <c:v>0.31979999999999997</c:v>
                </c:pt>
                <c:pt idx="261">
                  <c:v>0.31979999999999997</c:v>
                </c:pt>
                <c:pt idx="262">
                  <c:v>0.31979999999999997</c:v>
                </c:pt>
                <c:pt idx="263">
                  <c:v>0.31979999999999997</c:v>
                </c:pt>
                <c:pt idx="264">
                  <c:v>0.31979999999999997</c:v>
                </c:pt>
                <c:pt idx="265">
                  <c:v>0.31979999999999997</c:v>
                </c:pt>
                <c:pt idx="266">
                  <c:v>0.31979999999999997</c:v>
                </c:pt>
                <c:pt idx="267">
                  <c:v>0.31979999999999997</c:v>
                </c:pt>
                <c:pt idx="268">
                  <c:v>0.31979999999999997</c:v>
                </c:pt>
                <c:pt idx="269">
                  <c:v>0.31979999999999997</c:v>
                </c:pt>
                <c:pt idx="270">
                  <c:v>0.31979999999999997</c:v>
                </c:pt>
                <c:pt idx="271">
                  <c:v>0.31979999999999997</c:v>
                </c:pt>
                <c:pt idx="272">
                  <c:v>0.31979999999999997</c:v>
                </c:pt>
                <c:pt idx="273">
                  <c:v>0.31979999999999997</c:v>
                </c:pt>
                <c:pt idx="274">
                  <c:v>0.31979999999999997</c:v>
                </c:pt>
                <c:pt idx="275">
                  <c:v>0.31979999999999997</c:v>
                </c:pt>
                <c:pt idx="276">
                  <c:v>0.31979999999999997</c:v>
                </c:pt>
                <c:pt idx="277">
                  <c:v>0.31979999999999997</c:v>
                </c:pt>
                <c:pt idx="278">
                  <c:v>0.31979999999999997</c:v>
                </c:pt>
                <c:pt idx="279">
                  <c:v>0.31979999999999997</c:v>
                </c:pt>
                <c:pt idx="280">
                  <c:v>0.31979999999999997</c:v>
                </c:pt>
                <c:pt idx="281">
                  <c:v>0.31979999999999997</c:v>
                </c:pt>
                <c:pt idx="282">
                  <c:v>0.31979999999999997</c:v>
                </c:pt>
                <c:pt idx="283">
                  <c:v>0.31979999999999997</c:v>
                </c:pt>
                <c:pt idx="284">
                  <c:v>0.31979999999999997</c:v>
                </c:pt>
                <c:pt idx="285">
                  <c:v>0.31979999999999997</c:v>
                </c:pt>
                <c:pt idx="286">
                  <c:v>0.31979999999999997</c:v>
                </c:pt>
                <c:pt idx="287">
                  <c:v>0.31979999999999997</c:v>
                </c:pt>
                <c:pt idx="288">
                  <c:v>0.31979999999999997</c:v>
                </c:pt>
                <c:pt idx="289">
                  <c:v>0.31979999999999997</c:v>
                </c:pt>
                <c:pt idx="290">
                  <c:v>0.31979999999999997</c:v>
                </c:pt>
                <c:pt idx="291">
                  <c:v>0.31979999999999997</c:v>
                </c:pt>
                <c:pt idx="292">
                  <c:v>0.31979999999999997</c:v>
                </c:pt>
                <c:pt idx="293">
                  <c:v>0.31979999999999997</c:v>
                </c:pt>
                <c:pt idx="294">
                  <c:v>0.31979999999999997</c:v>
                </c:pt>
                <c:pt idx="295">
                  <c:v>0.31979999999999997</c:v>
                </c:pt>
                <c:pt idx="296">
                  <c:v>0.31979999999999997</c:v>
                </c:pt>
                <c:pt idx="297">
                  <c:v>0.31979999999999997</c:v>
                </c:pt>
                <c:pt idx="298">
                  <c:v>0.31979999999999997</c:v>
                </c:pt>
                <c:pt idx="299">
                  <c:v>0.31979999999999997</c:v>
                </c:pt>
                <c:pt idx="300">
                  <c:v>0.31979999999999997</c:v>
                </c:pt>
                <c:pt idx="301">
                  <c:v>0.31979999999999997</c:v>
                </c:pt>
                <c:pt idx="302">
                  <c:v>0.31979999999999997</c:v>
                </c:pt>
                <c:pt idx="303">
                  <c:v>0.31979999999999997</c:v>
                </c:pt>
                <c:pt idx="304">
                  <c:v>0.31979999999999997</c:v>
                </c:pt>
                <c:pt idx="305">
                  <c:v>0.31979999999999997</c:v>
                </c:pt>
                <c:pt idx="306">
                  <c:v>0.31979999999999997</c:v>
                </c:pt>
                <c:pt idx="307">
                  <c:v>0.31979999999999997</c:v>
                </c:pt>
                <c:pt idx="308">
                  <c:v>0.31979999999999997</c:v>
                </c:pt>
                <c:pt idx="309">
                  <c:v>0.31979999999999997</c:v>
                </c:pt>
                <c:pt idx="310">
                  <c:v>0.31979999999999997</c:v>
                </c:pt>
                <c:pt idx="311">
                  <c:v>0.31979999999999997</c:v>
                </c:pt>
                <c:pt idx="312">
                  <c:v>0.31979999999999997</c:v>
                </c:pt>
                <c:pt idx="313">
                  <c:v>0.31979999999999997</c:v>
                </c:pt>
                <c:pt idx="314">
                  <c:v>0.31979999999999997</c:v>
                </c:pt>
                <c:pt idx="315">
                  <c:v>0.31979999999999997</c:v>
                </c:pt>
                <c:pt idx="316">
                  <c:v>0.31979999999999997</c:v>
                </c:pt>
                <c:pt idx="317">
                  <c:v>0.31979999999999997</c:v>
                </c:pt>
                <c:pt idx="318">
                  <c:v>0.31979999999999997</c:v>
                </c:pt>
                <c:pt idx="319">
                  <c:v>0.31979999999999997</c:v>
                </c:pt>
                <c:pt idx="320">
                  <c:v>0.31979999999999997</c:v>
                </c:pt>
                <c:pt idx="321">
                  <c:v>0.31979999999999997</c:v>
                </c:pt>
                <c:pt idx="322">
                  <c:v>0.31979999999999997</c:v>
                </c:pt>
                <c:pt idx="323">
                  <c:v>0.31979999999999997</c:v>
                </c:pt>
                <c:pt idx="324">
                  <c:v>0.31979999999999997</c:v>
                </c:pt>
                <c:pt idx="325">
                  <c:v>0.31979999999999997</c:v>
                </c:pt>
                <c:pt idx="326">
                  <c:v>0.31979999999999997</c:v>
                </c:pt>
                <c:pt idx="327">
                  <c:v>0.31979999999999997</c:v>
                </c:pt>
                <c:pt idx="328">
                  <c:v>0.31979999999999997</c:v>
                </c:pt>
                <c:pt idx="329">
                  <c:v>0.31979999999999997</c:v>
                </c:pt>
                <c:pt idx="330">
                  <c:v>0.31979999999999997</c:v>
                </c:pt>
                <c:pt idx="331">
                  <c:v>0.31979999999999997</c:v>
                </c:pt>
                <c:pt idx="332">
                  <c:v>0.31979999999999997</c:v>
                </c:pt>
                <c:pt idx="333">
                  <c:v>0.31979999999999997</c:v>
                </c:pt>
                <c:pt idx="334">
                  <c:v>0.31979999999999997</c:v>
                </c:pt>
                <c:pt idx="335">
                  <c:v>0.31979999999999997</c:v>
                </c:pt>
                <c:pt idx="336">
                  <c:v>0.31979999999999997</c:v>
                </c:pt>
                <c:pt idx="337">
                  <c:v>0.31979999999999997</c:v>
                </c:pt>
                <c:pt idx="338">
                  <c:v>0.31979999999999997</c:v>
                </c:pt>
                <c:pt idx="339">
                  <c:v>0.31979999999999997</c:v>
                </c:pt>
                <c:pt idx="340">
                  <c:v>0.31979999999999997</c:v>
                </c:pt>
                <c:pt idx="341">
                  <c:v>0.31979999999999997</c:v>
                </c:pt>
                <c:pt idx="342">
                  <c:v>0.31979999999999997</c:v>
                </c:pt>
                <c:pt idx="343">
                  <c:v>0.31979999999999997</c:v>
                </c:pt>
                <c:pt idx="344">
                  <c:v>0.31979999999999997</c:v>
                </c:pt>
                <c:pt idx="345">
                  <c:v>0.31979999999999997</c:v>
                </c:pt>
                <c:pt idx="346">
                  <c:v>0.31979999999999997</c:v>
                </c:pt>
                <c:pt idx="347">
                  <c:v>0.31979999999999997</c:v>
                </c:pt>
                <c:pt idx="348">
                  <c:v>0.31979999999999997</c:v>
                </c:pt>
                <c:pt idx="349">
                  <c:v>0.31979999999999997</c:v>
                </c:pt>
                <c:pt idx="350">
                  <c:v>0.31979999999999997</c:v>
                </c:pt>
                <c:pt idx="351">
                  <c:v>0.31979999999999997</c:v>
                </c:pt>
                <c:pt idx="352">
                  <c:v>0.31979999999999997</c:v>
                </c:pt>
                <c:pt idx="353">
                  <c:v>0.31979999999999997</c:v>
                </c:pt>
                <c:pt idx="354">
                  <c:v>0.31979999999999997</c:v>
                </c:pt>
                <c:pt idx="355">
                  <c:v>0.31979999999999997</c:v>
                </c:pt>
                <c:pt idx="356">
                  <c:v>0.31979999999999997</c:v>
                </c:pt>
                <c:pt idx="357">
                  <c:v>0.31979999999999997</c:v>
                </c:pt>
                <c:pt idx="358">
                  <c:v>0.31979999999999997</c:v>
                </c:pt>
                <c:pt idx="359">
                  <c:v>0.31979999999999997</c:v>
                </c:pt>
                <c:pt idx="360">
                  <c:v>0.31979999999999997</c:v>
                </c:pt>
                <c:pt idx="361">
                  <c:v>0.31979999999999997</c:v>
                </c:pt>
                <c:pt idx="362">
                  <c:v>0.31979999999999997</c:v>
                </c:pt>
                <c:pt idx="363">
                  <c:v>0.31979999999999997</c:v>
                </c:pt>
                <c:pt idx="364">
                  <c:v>0.31979999999999997</c:v>
                </c:pt>
                <c:pt idx="365">
                  <c:v>0.31979999999999997</c:v>
                </c:pt>
                <c:pt idx="366">
                  <c:v>0.31979999999999997</c:v>
                </c:pt>
                <c:pt idx="367">
                  <c:v>0.31979999999999997</c:v>
                </c:pt>
                <c:pt idx="368">
                  <c:v>0.31979999999999997</c:v>
                </c:pt>
                <c:pt idx="369">
                  <c:v>0.31979999999999997</c:v>
                </c:pt>
                <c:pt idx="370">
                  <c:v>0.31979999999999997</c:v>
                </c:pt>
                <c:pt idx="371">
                  <c:v>0.31979999999999997</c:v>
                </c:pt>
                <c:pt idx="372">
                  <c:v>0.31979999999999997</c:v>
                </c:pt>
                <c:pt idx="373">
                  <c:v>0.31979999999999997</c:v>
                </c:pt>
                <c:pt idx="374">
                  <c:v>0.31979999999999997</c:v>
                </c:pt>
                <c:pt idx="375">
                  <c:v>0.31979999999999997</c:v>
                </c:pt>
                <c:pt idx="376">
                  <c:v>0.31979999999999997</c:v>
                </c:pt>
                <c:pt idx="377">
                  <c:v>0.31979999999999997</c:v>
                </c:pt>
                <c:pt idx="378">
                  <c:v>0.31979999999999997</c:v>
                </c:pt>
                <c:pt idx="379">
                  <c:v>0.31979999999999997</c:v>
                </c:pt>
                <c:pt idx="380">
                  <c:v>0.31979999999999997</c:v>
                </c:pt>
                <c:pt idx="381">
                  <c:v>0.31979999999999997</c:v>
                </c:pt>
                <c:pt idx="382">
                  <c:v>0.31979999999999997</c:v>
                </c:pt>
                <c:pt idx="383">
                  <c:v>0.31979999999999997</c:v>
                </c:pt>
                <c:pt idx="384">
                  <c:v>0.31979999999999997</c:v>
                </c:pt>
                <c:pt idx="385">
                  <c:v>0.31979999999999997</c:v>
                </c:pt>
                <c:pt idx="386">
                  <c:v>0.31979999999999997</c:v>
                </c:pt>
                <c:pt idx="387">
                  <c:v>0.31979999999999997</c:v>
                </c:pt>
                <c:pt idx="388">
                  <c:v>0.31979999999999997</c:v>
                </c:pt>
                <c:pt idx="389">
                  <c:v>0.31979999999999997</c:v>
                </c:pt>
                <c:pt idx="390">
                  <c:v>0.31979999999999997</c:v>
                </c:pt>
                <c:pt idx="391">
                  <c:v>0.31979999999999997</c:v>
                </c:pt>
                <c:pt idx="392">
                  <c:v>0.31979999999999997</c:v>
                </c:pt>
                <c:pt idx="393">
                  <c:v>0.31979999999999997</c:v>
                </c:pt>
                <c:pt idx="394">
                  <c:v>0.31979999999999997</c:v>
                </c:pt>
                <c:pt idx="395">
                  <c:v>0.31979999999999997</c:v>
                </c:pt>
                <c:pt idx="396">
                  <c:v>0.31979999999999997</c:v>
                </c:pt>
                <c:pt idx="397">
                  <c:v>0.31979999999999997</c:v>
                </c:pt>
                <c:pt idx="398">
                  <c:v>0.31979999999999997</c:v>
                </c:pt>
                <c:pt idx="399">
                  <c:v>0.31979999999999997</c:v>
                </c:pt>
                <c:pt idx="400">
                  <c:v>0.31979999999999997</c:v>
                </c:pt>
                <c:pt idx="401">
                  <c:v>0.31979999999999997</c:v>
                </c:pt>
                <c:pt idx="402">
                  <c:v>0.31979999999999997</c:v>
                </c:pt>
                <c:pt idx="403">
                  <c:v>0.31979999999999997</c:v>
                </c:pt>
                <c:pt idx="404">
                  <c:v>0.31979999999999997</c:v>
                </c:pt>
                <c:pt idx="405">
                  <c:v>0.31979999999999997</c:v>
                </c:pt>
                <c:pt idx="406">
                  <c:v>0.31979999999999997</c:v>
                </c:pt>
                <c:pt idx="407">
                  <c:v>0.31979999999999997</c:v>
                </c:pt>
                <c:pt idx="408">
                  <c:v>0.31979999999999997</c:v>
                </c:pt>
                <c:pt idx="409">
                  <c:v>0.31979999999999997</c:v>
                </c:pt>
                <c:pt idx="410">
                  <c:v>0.31979999999999997</c:v>
                </c:pt>
                <c:pt idx="411">
                  <c:v>0.31979999999999997</c:v>
                </c:pt>
                <c:pt idx="412">
                  <c:v>0.31979999999999997</c:v>
                </c:pt>
                <c:pt idx="413">
                  <c:v>0.31979999999999997</c:v>
                </c:pt>
                <c:pt idx="414">
                  <c:v>0.31979999999999997</c:v>
                </c:pt>
                <c:pt idx="415">
                  <c:v>0.31979999999999997</c:v>
                </c:pt>
                <c:pt idx="416">
                  <c:v>0.31979999999999997</c:v>
                </c:pt>
                <c:pt idx="417">
                  <c:v>0.31979999999999997</c:v>
                </c:pt>
                <c:pt idx="418">
                  <c:v>0.31979999999999997</c:v>
                </c:pt>
                <c:pt idx="419">
                  <c:v>0.31979999999999997</c:v>
                </c:pt>
                <c:pt idx="420">
                  <c:v>0.31979999999999997</c:v>
                </c:pt>
                <c:pt idx="421">
                  <c:v>0.31979999999999997</c:v>
                </c:pt>
                <c:pt idx="422">
                  <c:v>0.31979999999999997</c:v>
                </c:pt>
                <c:pt idx="423">
                  <c:v>0.31979999999999997</c:v>
                </c:pt>
                <c:pt idx="424">
                  <c:v>0.31979999999999997</c:v>
                </c:pt>
                <c:pt idx="425">
                  <c:v>0.31979999999999997</c:v>
                </c:pt>
                <c:pt idx="426">
                  <c:v>0.31979999999999997</c:v>
                </c:pt>
                <c:pt idx="427">
                  <c:v>0.31979999999999997</c:v>
                </c:pt>
                <c:pt idx="428">
                  <c:v>0.31979999999999997</c:v>
                </c:pt>
                <c:pt idx="429">
                  <c:v>0.31979999999999997</c:v>
                </c:pt>
                <c:pt idx="430">
                  <c:v>0.31979999999999997</c:v>
                </c:pt>
                <c:pt idx="431">
                  <c:v>0.31979999999999997</c:v>
                </c:pt>
                <c:pt idx="432">
                  <c:v>0.31979999999999997</c:v>
                </c:pt>
                <c:pt idx="433">
                  <c:v>0.31979999999999997</c:v>
                </c:pt>
                <c:pt idx="434">
                  <c:v>0.31979999999999997</c:v>
                </c:pt>
                <c:pt idx="435">
                  <c:v>0.31979999999999997</c:v>
                </c:pt>
                <c:pt idx="436">
                  <c:v>0.31979999999999997</c:v>
                </c:pt>
                <c:pt idx="437">
                  <c:v>0.31979999999999997</c:v>
                </c:pt>
                <c:pt idx="438">
                  <c:v>0.31979999999999997</c:v>
                </c:pt>
                <c:pt idx="439">
                  <c:v>0.31979999999999997</c:v>
                </c:pt>
                <c:pt idx="440">
                  <c:v>0.31979999999999997</c:v>
                </c:pt>
                <c:pt idx="441">
                  <c:v>0.31979999999999997</c:v>
                </c:pt>
                <c:pt idx="442">
                  <c:v>0.31979999999999997</c:v>
                </c:pt>
                <c:pt idx="443">
                  <c:v>0.31979999999999997</c:v>
                </c:pt>
                <c:pt idx="444">
                  <c:v>0.31979999999999997</c:v>
                </c:pt>
                <c:pt idx="445">
                  <c:v>0.31979999999999997</c:v>
                </c:pt>
                <c:pt idx="446">
                  <c:v>0.31979999999999997</c:v>
                </c:pt>
                <c:pt idx="447">
                  <c:v>0.31979999999999997</c:v>
                </c:pt>
                <c:pt idx="448">
                  <c:v>0.31979999999999997</c:v>
                </c:pt>
                <c:pt idx="449">
                  <c:v>0.31979999999999997</c:v>
                </c:pt>
                <c:pt idx="450">
                  <c:v>0.31979999999999997</c:v>
                </c:pt>
                <c:pt idx="451">
                  <c:v>0.31979999999999997</c:v>
                </c:pt>
                <c:pt idx="452">
                  <c:v>0.31979999999999997</c:v>
                </c:pt>
                <c:pt idx="453">
                  <c:v>0.31979999999999997</c:v>
                </c:pt>
                <c:pt idx="454">
                  <c:v>0.31979999999999997</c:v>
                </c:pt>
                <c:pt idx="455">
                  <c:v>0.31979999999999997</c:v>
                </c:pt>
                <c:pt idx="456">
                  <c:v>0.31979999999999997</c:v>
                </c:pt>
                <c:pt idx="457">
                  <c:v>0.31979999999999997</c:v>
                </c:pt>
                <c:pt idx="458">
                  <c:v>0.31979999999999997</c:v>
                </c:pt>
                <c:pt idx="459">
                  <c:v>0.31979999999999997</c:v>
                </c:pt>
                <c:pt idx="460">
                  <c:v>0.31979999999999997</c:v>
                </c:pt>
                <c:pt idx="461">
                  <c:v>0.31979999999999997</c:v>
                </c:pt>
                <c:pt idx="462">
                  <c:v>0.31979999999999997</c:v>
                </c:pt>
                <c:pt idx="463">
                  <c:v>0.31979999999999997</c:v>
                </c:pt>
                <c:pt idx="464">
                  <c:v>0.31979999999999997</c:v>
                </c:pt>
                <c:pt idx="465">
                  <c:v>0.31979999999999997</c:v>
                </c:pt>
                <c:pt idx="466">
                  <c:v>0.31979999999999997</c:v>
                </c:pt>
                <c:pt idx="467">
                  <c:v>0.31979999999999997</c:v>
                </c:pt>
                <c:pt idx="468">
                  <c:v>0.31979999999999997</c:v>
                </c:pt>
                <c:pt idx="469">
                  <c:v>0.31979999999999997</c:v>
                </c:pt>
                <c:pt idx="470">
                  <c:v>0.31979999999999997</c:v>
                </c:pt>
                <c:pt idx="471">
                  <c:v>0.31979999999999997</c:v>
                </c:pt>
                <c:pt idx="472">
                  <c:v>0.31979999999999997</c:v>
                </c:pt>
                <c:pt idx="473">
                  <c:v>0.31979999999999997</c:v>
                </c:pt>
                <c:pt idx="474">
                  <c:v>0.31979999999999997</c:v>
                </c:pt>
                <c:pt idx="475">
                  <c:v>0.31979999999999997</c:v>
                </c:pt>
                <c:pt idx="476">
                  <c:v>0.31979999999999997</c:v>
                </c:pt>
                <c:pt idx="477">
                  <c:v>0.31979999999999997</c:v>
                </c:pt>
                <c:pt idx="478">
                  <c:v>0.31979999999999997</c:v>
                </c:pt>
                <c:pt idx="479">
                  <c:v>0.31979999999999997</c:v>
                </c:pt>
                <c:pt idx="480">
                  <c:v>0.31979999999999997</c:v>
                </c:pt>
                <c:pt idx="481">
                  <c:v>0.31979999999999997</c:v>
                </c:pt>
                <c:pt idx="482">
                  <c:v>0.31979999999999997</c:v>
                </c:pt>
                <c:pt idx="483">
                  <c:v>0.31979999999999997</c:v>
                </c:pt>
                <c:pt idx="484">
                  <c:v>0.31979999999999997</c:v>
                </c:pt>
                <c:pt idx="485">
                  <c:v>0.31979999999999997</c:v>
                </c:pt>
                <c:pt idx="486">
                  <c:v>0.31979999999999997</c:v>
                </c:pt>
                <c:pt idx="487">
                  <c:v>0.31979999999999997</c:v>
                </c:pt>
                <c:pt idx="488">
                  <c:v>0.31979999999999997</c:v>
                </c:pt>
                <c:pt idx="489">
                  <c:v>0.31979999999999997</c:v>
                </c:pt>
                <c:pt idx="490">
                  <c:v>0.31979999999999997</c:v>
                </c:pt>
                <c:pt idx="491">
                  <c:v>0.31979999999999997</c:v>
                </c:pt>
                <c:pt idx="492">
                  <c:v>0.31979999999999997</c:v>
                </c:pt>
                <c:pt idx="493">
                  <c:v>0.31979999999999997</c:v>
                </c:pt>
                <c:pt idx="494">
                  <c:v>0.31979999999999997</c:v>
                </c:pt>
                <c:pt idx="495">
                  <c:v>0.31979999999999997</c:v>
                </c:pt>
                <c:pt idx="496">
                  <c:v>0.31979999999999997</c:v>
                </c:pt>
                <c:pt idx="497">
                  <c:v>0.31979999999999997</c:v>
                </c:pt>
                <c:pt idx="498">
                  <c:v>0.31979999999999997</c:v>
                </c:pt>
                <c:pt idx="499">
                  <c:v>0.31979999999999997</c:v>
                </c:pt>
                <c:pt idx="500">
                  <c:v>0.31979999999999997</c:v>
                </c:pt>
              </c:numCache>
            </c:numRef>
          </c:val>
          <c:smooth val="0"/>
          <c:extLst>
            <c:ext xmlns:c16="http://schemas.microsoft.com/office/drawing/2014/chart" uri="{C3380CC4-5D6E-409C-BE32-E72D297353CC}">
              <c16:uniqueId val="{00000000-0269-4C1D-AA98-0D7D8A0056D4}"/>
            </c:ext>
          </c:extLst>
        </c:ser>
        <c:ser>
          <c:idx val="1"/>
          <c:order val="1"/>
          <c:tx>
            <c:strRef>
              <c:f>List1!$C$1</c:f>
              <c:strCache>
                <c:ptCount val="1"/>
                <c:pt idx="0">
                  <c:v>Total pension</c:v>
                </c:pt>
              </c:strCache>
            </c:strRef>
          </c:tx>
          <c:spPr>
            <a:ln w="28575" cap="rnd">
              <a:solidFill>
                <a:schemeClr val="tx1"/>
              </a:solidFill>
              <a:round/>
            </a:ln>
            <a:effectLst/>
          </c:spPr>
          <c:marker>
            <c:symbol val="none"/>
          </c:marker>
          <c:cat>
            <c:numRef>
              <c:f>List1!$A$2:$A$502</c:f>
              <c:numCache>
                <c:formatCode>0%</c:formatCode>
                <c:ptCount val="5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1.1299999999999999</c:v>
                </c:pt>
                <c:pt idx="114">
                  <c:v>1.1399999999999999</c:v>
                </c:pt>
                <c:pt idx="115">
                  <c:v>1.1499999999999999</c:v>
                </c:pt>
                <c:pt idx="116">
                  <c:v>1.1599999999999999</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c:v>
                </c:pt>
                <c:pt idx="164">
                  <c:v>1.64</c:v>
                </c:pt>
                <c:pt idx="165">
                  <c:v>1.65</c:v>
                </c:pt>
                <c:pt idx="166">
                  <c:v>1.66</c:v>
                </c:pt>
                <c:pt idx="167">
                  <c:v>1.67</c:v>
                </c:pt>
                <c:pt idx="168">
                  <c:v>1.68</c:v>
                </c:pt>
                <c:pt idx="169">
                  <c:v>1.69</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c:v>
                </c:pt>
                <c:pt idx="189">
                  <c:v>1.89</c:v>
                </c:pt>
                <c:pt idx="190">
                  <c:v>1.9</c:v>
                </c:pt>
                <c:pt idx="191">
                  <c:v>1.91</c:v>
                </c:pt>
                <c:pt idx="192">
                  <c:v>1.92</c:v>
                </c:pt>
                <c:pt idx="193">
                  <c:v>1.93</c:v>
                </c:pt>
                <c:pt idx="194">
                  <c:v>1.94</c:v>
                </c:pt>
                <c:pt idx="195">
                  <c:v>1.95</c:v>
                </c:pt>
                <c:pt idx="196">
                  <c:v>1.96</c:v>
                </c:pt>
                <c:pt idx="197">
                  <c:v>1.97</c:v>
                </c:pt>
                <c:pt idx="198">
                  <c:v>1.98</c:v>
                </c:pt>
                <c:pt idx="199">
                  <c:v>1.99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2.31</c:v>
                </c:pt>
                <c:pt idx="232">
                  <c:v>2.3199999999999998</c:v>
                </c:pt>
                <c:pt idx="233">
                  <c:v>2.33</c:v>
                </c:pt>
                <c:pt idx="234">
                  <c:v>2.34</c:v>
                </c:pt>
                <c:pt idx="235">
                  <c:v>2.35</c:v>
                </c:pt>
                <c:pt idx="236">
                  <c:v>2.36</c:v>
                </c:pt>
                <c:pt idx="237">
                  <c:v>2.37</c:v>
                </c:pt>
                <c:pt idx="238">
                  <c:v>2.38</c:v>
                </c:pt>
                <c:pt idx="239">
                  <c:v>2.39</c:v>
                </c:pt>
                <c:pt idx="240">
                  <c:v>2.4</c:v>
                </c:pt>
                <c:pt idx="241">
                  <c:v>2.41</c:v>
                </c:pt>
                <c:pt idx="242">
                  <c:v>2.42</c:v>
                </c:pt>
                <c:pt idx="243">
                  <c:v>2.4300000000000002</c:v>
                </c:pt>
                <c:pt idx="244">
                  <c:v>2.44</c:v>
                </c:pt>
                <c:pt idx="245">
                  <c:v>2.4500000000000002</c:v>
                </c:pt>
                <c:pt idx="246">
                  <c:v>2.46</c:v>
                </c:pt>
                <c:pt idx="247">
                  <c:v>2.4700000000000002</c:v>
                </c:pt>
                <c:pt idx="248">
                  <c:v>2.48</c:v>
                </c:pt>
                <c:pt idx="249">
                  <c:v>2.4900000000000002</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c:v>
                </c:pt>
                <c:pt idx="327">
                  <c:v>3.27</c:v>
                </c:pt>
                <c:pt idx="328">
                  <c:v>3.28</c:v>
                </c:pt>
                <c:pt idx="329">
                  <c:v>3.29</c:v>
                </c:pt>
                <c:pt idx="330">
                  <c:v>3.3</c:v>
                </c:pt>
                <c:pt idx="331">
                  <c:v>3.31</c:v>
                </c:pt>
                <c:pt idx="332">
                  <c:v>3.32</c:v>
                </c:pt>
                <c:pt idx="333">
                  <c:v>3.33</c:v>
                </c:pt>
                <c:pt idx="334">
                  <c:v>3.34</c:v>
                </c:pt>
                <c:pt idx="335">
                  <c:v>3.35</c:v>
                </c:pt>
                <c:pt idx="336">
                  <c:v>3.36</c:v>
                </c:pt>
                <c:pt idx="337">
                  <c:v>3.37</c:v>
                </c:pt>
                <c:pt idx="338">
                  <c:v>3.38</c:v>
                </c:pt>
                <c:pt idx="339">
                  <c:v>3.39</c:v>
                </c:pt>
                <c:pt idx="340">
                  <c:v>3.4</c:v>
                </c:pt>
                <c:pt idx="341">
                  <c:v>3.41</c:v>
                </c:pt>
                <c:pt idx="342">
                  <c:v>3.42</c:v>
                </c:pt>
                <c:pt idx="343">
                  <c:v>3.43</c:v>
                </c:pt>
                <c:pt idx="344">
                  <c:v>3.44</c:v>
                </c:pt>
                <c:pt idx="345">
                  <c:v>3.45</c:v>
                </c:pt>
                <c:pt idx="346">
                  <c:v>3.46</c:v>
                </c:pt>
                <c:pt idx="347">
                  <c:v>3.47</c:v>
                </c:pt>
                <c:pt idx="348">
                  <c:v>3.48</c:v>
                </c:pt>
                <c:pt idx="349">
                  <c:v>3.49</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c:v>
                </c:pt>
                <c:pt idx="377">
                  <c:v>3.77</c:v>
                </c:pt>
                <c:pt idx="378">
                  <c:v>3.78</c:v>
                </c:pt>
                <c:pt idx="379">
                  <c:v>3.79</c:v>
                </c:pt>
                <c:pt idx="380">
                  <c:v>3.8</c:v>
                </c:pt>
                <c:pt idx="381">
                  <c:v>3.81</c:v>
                </c:pt>
                <c:pt idx="382">
                  <c:v>3.82</c:v>
                </c:pt>
                <c:pt idx="383">
                  <c:v>3.83</c:v>
                </c:pt>
                <c:pt idx="384">
                  <c:v>3.84</c:v>
                </c:pt>
                <c:pt idx="385">
                  <c:v>3.85</c:v>
                </c:pt>
                <c:pt idx="386">
                  <c:v>3.86</c:v>
                </c:pt>
                <c:pt idx="387">
                  <c:v>3.87</c:v>
                </c:pt>
                <c:pt idx="388">
                  <c:v>3.88</c:v>
                </c:pt>
                <c:pt idx="389">
                  <c:v>3.89</c:v>
                </c:pt>
                <c:pt idx="390">
                  <c:v>3.9</c:v>
                </c:pt>
                <c:pt idx="391">
                  <c:v>3.91</c:v>
                </c:pt>
                <c:pt idx="392">
                  <c:v>3.92</c:v>
                </c:pt>
                <c:pt idx="393">
                  <c:v>3.93</c:v>
                </c:pt>
                <c:pt idx="394">
                  <c:v>3.94</c:v>
                </c:pt>
                <c:pt idx="395">
                  <c:v>3.95</c:v>
                </c:pt>
                <c:pt idx="396">
                  <c:v>3.96</c:v>
                </c:pt>
                <c:pt idx="397">
                  <c:v>3.97</c:v>
                </c:pt>
                <c:pt idx="398">
                  <c:v>3.98</c:v>
                </c:pt>
                <c:pt idx="399">
                  <c:v>3.99</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4.1100000000000003</c:v>
                </c:pt>
                <c:pt idx="412">
                  <c:v>4.12</c:v>
                </c:pt>
                <c:pt idx="413">
                  <c:v>4.13</c:v>
                </c:pt>
                <c:pt idx="414">
                  <c:v>4.1399999999999997</c:v>
                </c:pt>
                <c:pt idx="415">
                  <c:v>4.1500000000000004</c:v>
                </c:pt>
                <c:pt idx="416">
                  <c:v>4.16</c:v>
                </c:pt>
                <c:pt idx="417">
                  <c:v>4.17</c:v>
                </c:pt>
                <c:pt idx="418">
                  <c:v>4.18</c:v>
                </c:pt>
                <c:pt idx="419">
                  <c:v>4.1900000000000004</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4.32</c:v>
                </c:pt>
                <c:pt idx="433">
                  <c:v>4.33</c:v>
                </c:pt>
                <c:pt idx="434">
                  <c:v>4.34</c:v>
                </c:pt>
                <c:pt idx="435">
                  <c:v>4.3499999999999996</c:v>
                </c:pt>
                <c:pt idx="436">
                  <c:v>4.3600000000000003</c:v>
                </c:pt>
                <c:pt idx="437">
                  <c:v>4.37</c:v>
                </c:pt>
                <c:pt idx="438">
                  <c:v>4.38</c:v>
                </c:pt>
                <c:pt idx="439">
                  <c:v>4.3899999999999997</c:v>
                </c:pt>
                <c:pt idx="440">
                  <c:v>4.4000000000000004</c:v>
                </c:pt>
                <c:pt idx="441">
                  <c:v>4.41</c:v>
                </c:pt>
                <c:pt idx="442">
                  <c:v>4.42</c:v>
                </c:pt>
                <c:pt idx="443">
                  <c:v>4.43</c:v>
                </c:pt>
                <c:pt idx="444">
                  <c:v>4.4400000000000004</c:v>
                </c:pt>
                <c:pt idx="445">
                  <c:v>4.45</c:v>
                </c:pt>
                <c:pt idx="446">
                  <c:v>4.46</c:v>
                </c:pt>
                <c:pt idx="447">
                  <c:v>4.47</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4.6100000000000003</c:v>
                </c:pt>
                <c:pt idx="462">
                  <c:v>4.62</c:v>
                </c:pt>
                <c:pt idx="463">
                  <c:v>4.63</c:v>
                </c:pt>
                <c:pt idx="464">
                  <c:v>4.6399999999999997</c:v>
                </c:pt>
                <c:pt idx="465">
                  <c:v>4.6500000000000004</c:v>
                </c:pt>
                <c:pt idx="466">
                  <c:v>4.66</c:v>
                </c:pt>
                <c:pt idx="467">
                  <c:v>4.67</c:v>
                </c:pt>
                <c:pt idx="468">
                  <c:v>4.68</c:v>
                </c:pt>
                <c:pt idx="469">
                  <c:v>4.6900000000000004</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4.82</c:v>
                </c:pt>
                <c:pt idx="483">
                  <c:v>4.83</c:v>
                </c:pt>
                <c:pt idx="484">
                  <c:v>4.84</c:v>
                </c:pt>
                <c:pt idx="485">
                  <c:v>4.8499999999999996</c:v>
                </c:pt>
                <c:pt idx="486">
                  <c:v>4.8600000000000003</c:v>
                </c:pt>
                <c:pt idx="487">
                  <c:v>4.87</c:v>
                </c:pt>
                <c:pt idx="488">
                  <c:v>4.88</c:v>
                </c:pt>
                <c:pt idx="489">
                  <c:v>4.8899999999999997</c:v>
                </c:pt>
                <c:pt idx="490">
                  <c:v>4.9000000000000004</c:v>
                </c:pt>
                <c:pt idx="491">
                  <c:v>4.91</c:v>
                </c:pt>
                <c:pt idx="492">
                  <c:v>4.92</c:v>
                </c:pt>
                <c:pt idx="493">
                  <c:v>4.93</c:v>
                </c:pt>
                <c:pt idx="494">
                  <c:v>4.9400000000000004</c:v>
                </c:pt>
                <c:pt idx="495">
                  <c:v>4.95</c:v>
                </c:pt>
                <c:pt idx="496">
                  <c:v>4.96</c:v>
                </c:pt>
                <c:pt idx="497">
                  <c:v>4.97</c:v>
                </c:pt>
                <c:pt idx="498">
                  <c:v>4.9800000000000004</c:v>
                </c:pt>
                <c:pt idx="499">
                  <c:v>4.99</c:v>
                </c:pt>
                <c:pt idx="500">
                  <c:v>5</c:v>
                </c:pt>
              </c:numCache>
            </c:numRef>
          </c:cat>
          <c:val>
            <c:numRef>
              <c:f>List1!$C$2:$C$502</c:f>
              <c:numCache>
                <c:formatCode>0%</c:formatCode>
                <c:ptCount val="501"/>
                <c:pt idx="0">
                  <c:v>0.31979999999999997</c:v>
                </c:pt>
                <c:pt idx="1">
                  <c:v>0.32150000000000001</c:v>
                </c:pt>
                <c:pt idx="2">
                  <c:v>0.32329999999999998</c:v>
                </c:pt>
                <c:pt idx="3">
                  <c:v>0.32500000000000001</c:v>
                </c:pt>
                <c:pt idx="4">
                  <c:v>0.32679999999999998</c:v>
                </c:pt>
                <c:pt idx="5">
                  <c:v>0.3286</c:v>
                </c:pt>
                <c:pt idx="6">
                  <c:v>0.33029999999999998</c:v>
                </c:pt>
                <c:pt idx="7">
                  <c:v>0.33210000000000001</c:v>
                </c:pt>
                <c:pt idx="8">
                  <c:v>0.33379999999999999</c:v>
                </c:pt>
                <c:pt idx="9">
                  <c:v>0.33560000000000001</c:v>
                </c:pt>
                <c:pt idx="10">
                  <c:v>0.33729999999999999</c:v>
                </c:pt>
                <c:pt idx="11">
                  <c:v>0.33910000000000001</c:v>
                </c:pt>
                <c:pt idx="12">
                  <c:v>0.34079999999999999</c:v>
                </c:pt>
                <c:pt idx="13">
                  <c:v>0.34260000000000002</c:v>
                </c:pt>
                <c:pt idx="14">
                  <c:v>0.34439999999999998</c:v>
                </c:pt>
                <c:pt idx="15">
                  <c:v>0.34610000000000002</c:v>
                </c:pt>
                <c:pt idx="16">
                  <c:v>0.34789999999999999</c:v>
                </c:pt>
                <c:pt idx="17">
                  <c:v>0.34960000000000002</c:v>
                </c:pt>
                <c:pt idx="18">
                  <c:v>0.35139999999999999</c:v>
                </c:pt>
                <c:pt idx="19">
                  <c:v>0.35310000000000002</c:v>
                </c:pt>
                <c:pt idx="20">
                  <c:v>0.35489999999999999</c:v>
                </c:pt>
                <c:pt idx="21">
                  <c:v>0.35659999999999997</c:v>
                </c:pt>
                <c:pt idx="22">
                  <c:v>0.3584</c:v>
                </c:pt>
                <c:pt idx="23">
                  <c:v>0.36009999999999998</c:v>
                </c:pt>
                <c:pt idx="24">
                  <c:v>0.3619</c:v>
                </c:pt>
                <c:pt idx="25">
                  <c:v>0.36370000000000002</c:v>
                </c:pt>
                <c:pt idx="26">
                  <c:v>0.3654</c:v>
                </c:pt>
                <c:pt idx="27">
                  <c:v>0.36720000000000003</c:v>
                </c:pt>
                <c:pt idx="28">
                  <c:v>0.36890000000000001</c:v>
                </c:pt>
                <c:pt idx="29">
                  <c:v>0.37069999999999997</c:v>
                </c:pt>
                <c:pt idx="30">
                  <c:v>0.37240000000000001</c:v>
                </c:pt>
                <c:pt idx="31">
                  <c:v>0.37419999999999998</c:v>
                </c:pt>
                <c:pt idx="32">
                  <c:v>0.37590000000000001</c:v>
                </c:pt>
                <c:pt idx="33">
                  <c:v>0.37769999999999998</c:v>
                </c:pt>
                <c:pt idx="34">
                  <c:v>0.3795</c:v>
                </c:pt>
                <c:pt idx="35">
                  <c:v>0.38119999999999998</c:v>
                </c:pt>
                <c:pt idx="36">
                  <c:v>0.38300000000000001</c:v>
                </c:pt>
                <c:pt idx="37">
                  <c:v>0.38469999999999999</c:v>
                </c:pt>
                <c:pt idx="38">
                  <c:v>0.38650000000000001</c:v>
                </c:pt>
                <c:pt idx="39">
                  <c:v>0.38819999999999999</c:v>
                </c:pt>
                <c:pt idx="40">
                  <c:v>0.39</c:v>
                </c:pt>
                <c:pt idx="41">
                  <c:v>0.39169999999999999</c:v>
                </c:pt>
                <c:pt idx="42">
                  <c:v>0.39350000000000002</c:v>
                </c:pt>
                <c:pt idx="43">
                  <c:v>0.3952</c:v>
                </c:pt>
                <c:pt idx="44">
                  <c:v>0.39700000000000002</c:v>
                </c:pt>
                <c:pt idx="45">
                  <c:v>0.39879999999999999</c:v>
                </c:pt>
                <c:pt idx="46">
                  <c:v>0.40050000000000002</c:v>
                </c:pt>
                <c:pt idx="47">
                  <c:v>0.40229999999999999</c:v>
                </c:pt>
                <c:pt idx="48">
                  <c:v>0.40400000000000003</c:v>
                </c:pt>
                <c:pt idx="49">
                  <c:v>0.40579999999999999</c:v>
                </c:pt>
                <c:pt idx="50">
                  <c:v>0.40749999999999997</c:v>
                </c:pt>
                <c:pt idx="51">
                  <c:v>0.4093</c:v>
                </c:pt>
                <c:pt idx="52">
                  <c:v>0.41099999999999998</c:v>
                </c:pt>
                <c:pt idx="53">
                  <c:v>0.4128</c:v>
                </c:pt>
                <c:pt idx="54">
                  <c:v>0.41460000000000002</c:v>
                </c:pt>
                <c:pt idx="55">
                  <c:v>0.4163</c:v>
                </c:pt>
                <c:pt idx="56">
                  <c:v>0.41810000000000003</c:v>
                </c:pt>
                <c:pt idx="57">
                  <c:v>0.41980000000000001</c:v>
                </c:pt>
                <c:pt idx="58">
                  <c:v>0.42159999999999997</c:v>
                </c:pt>
                <c:pt idx="59">
                  <c:v>0.42330000000000001</c:v>
                </c:pt>
                <c:pt idx="60">
                  <c:v>0.42509999999999998</c:v>
                </c:pt>
                <c:pt idx="61">
                  <c:v>0.42680000000000001</c:v>
                </c:pt>
                <c:pt idx="62">
                  <c:v>0.42859999999999998</c:v>
                </c:pt>
                <c:pt idx="63">
                  <c:v>0.43030000000000002</c:v>
                </c:pt>
                <c:pt idx="64">
                  <c:v>0.43209999999999998</c:v>
                </c:pt>
                <c:pt idx="65">
                  <c:v>0.43390000000000001</c:v>
                </c:pt>
                <c:pt idx="66">
                  <c:v>0.43559999999999999</c:v>
                </c:pt>
                <c:pt idx="67">
                  <c:v>0.43740000000000001</c:v>
                </c:pt>
                <c:pt idx="68">
                  <c:v>0.43909999999999999</c:v>
                </c:pt>
                <c:pt idx="69">
                  <c:v>0.44090000000000001</c:v>
                </c:pt>
                <c:pt idx="70">
                  <c:v>0.44259999999999999</c:v>
                </c:pt>
                <c:pt idx="71">
                  <c:v>0.44440000000000002</c:v>
                </c:pt>
                <c:pt idx="72">
                  <c:v>0.4461</c:v>
                </c:pt>
                <c:pt idx="73">
                  <c:v>0.44790000000000002</c:v>
                </c:pt>
                <c:pt idx="74">
                  <c:v>0.44969999999999999</c:v>
                </c:pt>
                <c:pt idx="75">
                  <c:v>0.45140000000000002</c:v>
                </c:pt>
                <c:pt idx="76">
                  <c:v>0.45319999999999999</c:v>
                </c:pt>
                <c:pt idx="77">
                  <c:v>0.45490000000000003</c:v>
                </c:pt>
                <c:pt idx="78">
                  <c:v>0.45669999999999999</c:v>
                </c:pt>
                <c:pt idx="79">
                  <c:v>0.45839999999999997</c:v>
                </c:pt>
                <c:pt idx="80">
                  <c:v>0.4602</c:v>
                </c:pt>
                <c:pt idx="81">
                  <c:v>0.46189999999999998</c:v>
                </c:pt>
                <c:pt idx="82">
                  <c:v>0.4637</c:v>
                </c:pt>
                <c:pt idx="83">
                  <c:v>0.46539999999999998</c:v>
                </c:pt>
                <c:pt idx="84">
                  <c:v>0.4672</c:v>
                </c:pt>
                <c:pt idx="85">
                  <c:v>0.46899999999999997</c:v>
                </c:pt>
                <c:pt idx="86">
                  <c:v>0.47070000000000001</c:v>
                </c:pt>
                <c:pt idx="87">
                  <c:v>0.47249999999999998</c:v>
                </c:pt>
                <c:pt idx="88">
                  <c:v>0.47420000000000001</c:v>
                </c:pt>
                <c:pt idx="89">
                  <c:v>0.47599999999999998</c:v>
                </c:pt>
                <c:pt idx="90">
                  <c:v>0.47770000000000001</c:v>
                </c:pt>
                <c:pt idx="91">
                  <c:v>0.47949999999999998</c:v>
                </c:pt>
                <c:pt idx="92">
                  <c:v>0.48120000000000002</c:v>
                </c:pt>
                <c:pt idx="93">
                  <c:v>0.48299999999999998</c:v>
                </c:pt>
                <c:pt idx="94">
                  <c:v>0.48480000000000001</c:v>
                </c:pt>
                <c:pt idx="95">
                  <c:v>0.48649999999999999</c:v>
                </c:pt>
                <c:pt idx="96">
                  <c:v>0.48830000000000001</c:v>
                </c:pt>
                <c:pt idx="97">
                  <c:v>0.49</c:v>
                </c:pt>
                <c:pt idx="98">
                  <c:v>0.49180000000000001</c:v>
                </c:pt>
                <c:pt idx="99">
                  <c:v>0.49349999999999999</c:v>
                </c:pt>
                <c:pt idx="100">
                  <c:v>0.49530000000000002</c:v>
                </c:pt>
                <c:pt idx="101">
                  <c:v>0.497</c:v>
                </c:pt>
                <c:pt idx="102">
                  <c:v>0.49880000000000002</c:v>
                </c:pt>
                <c:pt idx="103">
                  <c:v>0.50049999999999994</c:v>
                </c:pt>
                <c:pt idx="104">
                  <c:v>0.50229999999999997</c:v>
                </c:pt>
                <c:pt idx="105">
                  <c:v>0.50409999999999999</c:v>
                </c:pt>
                <c:pt idx="106">
                  <c:v>0.50580000000000003</c:v>
                </c:pt>
                <c:pt idx="107">
                  <c:v>0.50760000000000005</c:v>
                </c:pt>
                <c:pt idx="108">
                  <c:v>0.50929999999999997</c:v>
                </c:pt>
                <c:pt idx="109">
                  <c:v>0.5111</c:v>
                </c:pt>
                <c:pt idx="110">
                  <c:v>0.51280000000000003</c:v>
                </c:pt>
                <c:pt idx="111">
                  <c:v>0.51459999999999995</c:v>
                </c:pt>
                <c:pt idx="112">
                  <c:v>0.51629999999999998</c:v>
                </c:pt>
                <c:pt idx="113">
                  <c:v>0.5181</c:v>
                </c:pt>
                <c:pt idx="114">
                  <c:v>0.51990000000000003</c:v>
                </c:pt>
                <c:pt idx="115">
                  <c:v>0.52159999999999995</c:v>
                </c:pt>
                <c:pt idx="116">
                  <c:v>0.52339999999999998</c:v>
                </c:pt>
                <c:pt idx="117">
                  <c:v>0.52510000000000001</c:v>
                </c:pt>
                <c:pt idx="118">
                  <c:v>0.52690000000000003</c:v>
                </c:pt>
                <c:pt idx="119">
                  <c:v>0.52859999999999996</c:v>
                </c:pt>
                <c:pt idx="120">
                  <c:v>0.53039999999999998</c:v>
                </c:pt>
                <c:pt idx="121">
                  <c:v>0.53210000000000002</c:v>
                </c:pt>
                <c:pt idx="122">
                  <c:v>0.53390000000000004</c:v>
                </c:pt>
                <c:pt idx="123">
                  <c:v>0.53559999999999997</c:v>
                </c:pt>
                <c:pt idx="124">
                  <c:v>0.53739999999999999</c:v>
                </c:pt>
                <c:pt idx="125">
                  <c:v>0.53920000000000001</c:v>
                </c:pt>
                <c:pt idx="126">
                  <c:v>0.54090000000000005</c:v>
                </c:pt>
                <c:pt idx="127">
                  <c:v>0.54269999999999996</c:v>
                </c:pt>
                <c:pt idx="128">
                  <c:v>0.5444</c:v>
                </c:pt>
                <c:pt idx="129">
                  <c:v>0.54620000000000002</c:v>
                </c:pt>
                <c:pt idx="130">
                  <c:v>0.54790000000000005</c:v>
                </c:pt>
                <c:pt idx="131">
                  <c:v>0.54969999999999997</c:v>
                </c:pt>
                <c:pt idx="132">
                  <c:v>0.5514</c:v>
                </c:pt>
                <c:pt idx="133">
                  <c:v>0.55320000000000003</c:v>
                </c:pt>
                <c:pt idx="134">
                  <c:v>0.55500000000000005</c:v>
                </c:pt>
                <c:pt idx="135">
                  <c:v>0.55669999999999997</c:v>
                </c:pt>
                <c:pt idx="136">
                  <c:v>0.5585</c:v>
                </c:pt>
                <c:pt idx="137">
                  <c:v>0.56020000000000003</c:v>
                </c:pt>
                <c:pt idx="138">
                  <c:v>0.56200000000000006</c:v>
                </c:pt>
                <c:pt idx="139">
                  <c:v>0.56369999999999998</c:v>
                </c:pt>
                <c:pt idx="140">
                  <c:v>0.5655</c:v>
                </c:pt>
                <c:pt idx="141">
                  <c:v>0.56720000000000004</c:v>
                </c:pt>
                <c:pt idx="142">
                  <c:v>0.56899999999999995</c:v>
                </c:pt>
                <c:pt idx="143">
                  <c:v>0.57069999999999999</c:v>
                </c:pt>
                <c:pt idx="144">
                  <c:v>0.57250000000000001</c:v>
                </c:pt>
                <c:pt idx="145">
                  <c:v>0.57430000000000003</c:v>
                </c:pt>
                <c:pt idx="146">
                  <c:v>0.57599999999999996</c:v>
                </c:pt>
                <c:pt idx="147">
                  <c:v>0.57779999999999998</c:v>
                </c:pt>
                <c:pt idx="148">
                  <c:v>0.57950000000000002</c:v>
                </c:pt>
                <c:pt idx="149">
                  <c:v>0.58130000000000004</c:v>
                </c:pt>
                <c:pt idx="150">
                  <c:v>0.58299999999999996</c:v>
                </c:pt>
                <c:pt idx="151">
                  <c:v>0.58479999999999999</c:v>
                </c:pt>
                <c:pt idx="152">
                  <c:v>0.58650000000000002</c:v>
                </c:pt>
                <c:pt idx="153">
                  <c:v>0.58830000000000005</c:v>
                </c:pt>
                <c:pt idx="154">
                  <c:v>0.59009999999999996</c:v>
                </c:pt>
                <c:pt idx="155">
                  <c:v>0.59179999999999999</c:v>
                </c:pt>
                <c:pt idx="156">
                  <c:v>0.59360000000000002</c:v>
                </c:pt>
                <c:pt idx="157">
                  <c:v>0.59530000000000005</c:v>
                </c:pt>
                <c:pt idx="158">
                  <c:v>0.59709999999999996</c:v>
                </c:pt>
                <c:pt idx="159">
                  <c:v>0.5988</c:v>
                </c:pt>
                <c:pt idx="160">
                  <c:v>0.60060000000000002</c:v>
                </c:pt>
                <c:pt idx="161">
                  <c:v>0.60229999999999995</c:v>
                </c:pt>
                <c:pt idx="162">
                  <c:v>0.60409999999999997</c:v>
                </c:pt>
                <c:pt idx="163">
                  <c:v>0.60580000000000001</c:v>
                </c:pt>
                <c:pt idx="164">
                  <c:v>0.60760000000000003</c:v>
                </c:pt>
                <c:pt idx="165">
                  <c:v>0.60940000000000005</c:v>
                </c:pt>
                <c:pt idx="166">
                  <c:v>0.61109999999999998</c:v>
                </c:pt>
                <c:pt idx="167">
                  <c:v>0.6129</c:v>
                </c:pt>
                <c:pt idx="168">
                  <c:v>0.61460000000000004</c:v>
                </c:pt>
                <c:pt idx="169">
                  <c:v>0.61639999999999995</c:v>
                </c:pt>
                <c:pt idx="170">
                  <c:v>0.61809999999999998</c:v>
                </c:pt>
                <c:pt idx="171">
                  <c:v>0.61990000000000001</c:v>
                </c:pt>
                <c:pt idx="172">
                  <c:v>0.62160000000000004</c:v>
                </c:pt>
                <c:pt idx="173">
                  <c:v>0.62339999999999995</c:v>
                </c:pt>
                <c:pt idx="174">
                  <c:v>0.62519999999999998</c:v>
                </c:pt>
                <c:pt idx="175">
                  <c:v>0.62690000000000001</c:v>
                </c:pt>
                <c:pt idx="176">
                  <c:v>0.62870000000000004</c:v>
                </c:pt>
                <c:pt idx="177">
                  <c:v>0.63039999999999996</c:v>
                </c:pt>
                <c:pt idx="178">
                  <c:v>0.63219999999999998</c:v>
                </c:pt>
                <c:pt idx="179">
                  <c:v>0.63390000000000002</c:v>
                </c:pt>
                <c:pt idx="180">
                  <c:v>0.63570000000000004</c:v>
                </c:pt>
                <c:pt idx="181">
                  <c:v>0.63739999999999997</c:v>
                </c:pt>
                <c:pt idx="182">
                  <c:v>0.63919999999999999</c:v>
                </c:pt>
                <c:pt idx="183">
                  <c:v>0.64090000000000003</c:v>
                </c:pt>
                <c:pt idx="184">
                  <c:v>0.64270000000000005</c:v>
                </c:pt>
                <c:pt idx="185">
                  <c:v>0.64449999999999996</c:v>
                </c:pt>
                <c:pt idx="186">
                  <c:v>0.6462</c:v>
                </c:pt>
                <c:pt idx="187">
                  <c:v>0.64800000000000002</c:v>
                </c:pt>
                <c:pt idx="188">
                  <c:v>0.64970000000000006</c:v>
                </c:pt>
                <c:pt idx="189">
                  <c:v>0.65149999999999997</c:v>
                </c:pt>
                <c:pt idx="190">
                  <c:v>0.6532</c:v>
                </c:pt>
                <c:pt idx="191">
                  <c:v>0.65500000000000003</c:v>
                </c:pt>
                <c:pt idx="192">
                  <c:v>0.65669999999999995</c:v>
                </c:pt>
                <c:pt idx="193">
                  <c:v>0.65849999999999997</c:v>
                </c:pt>
                <c:pt idx="194">
                  <c:v>0.6603</c:v>
                </c:pt>
                <c:pt idx="195">
                  <c:v>0.66200000000000003</c:v>
                </c:pt>
                <c:pt idx="196">
                  <c:v>0.66379999999999995</c:v>
                </c:pt>
                <c:pt idx="197">
                  <c:v>0.66549999999999998</c:v>
                </c:pt>
                <c:pt idx="198">
                  <c:v>0.6673</c:v>
                </c:pt>
                <c:pt idx="199">
                  <c:v>0.66900000000000004</c:v>
                </c:pt>
                <c:pt idx="200">
                  <c:v>0.67079999999999995</c:v>
                </c:pt>
                <c:pt idx="201">
                  <c:v>0.67249999999999999</c:v>
                </c:pt>
                <c:pt idx="202">
                  <c:v>0.67430000000000001</c:v>
                </c:pt>
                <c:pt idx="203">
                  <c:v>0.67600000000000005</c:v>
                </c:pt>
                <c:pt idx="204">
                  <c:v>0.67779999999999996</c:v>
                </c:pt>
                <c:pt idx="205">
                  <c:v>0.67959999999999998</c:v>
                </c:pt>
                <c:pt idx="206">
                  <c:v>0.68130000000000002</c:v>
                </c:pt>
                <c:pt idx="207">
                  <c:v>0.68310000000000004</c:v>
                </c:pt>
                <c:pt idx="208">
                  <c:v>0.68479999999999996</c:v>
                </c:pt>
                <c:pt idx="209">
                  <c:v>0.68659999999999999</c:v>
                </c:pt>
                <c:pt idx="210">
                  <c:v>0.68830000000000002</c:v>
                </c:pt>
                <c:pt idx="211">
                  <c:v>0.69010000000000005</c:v>
                </c:pt>
                <c:pt idx="212">
                  <c:v>0.69179999999999997</c:v>
                </c:pt>
                <c:pt idx="213">
                  <c:v>0.69359999999999999</c:v>
                </c:pt>
                <c:pt idx="214">
                  <c:v>0.69540000000000002</c:v>
                </c:pt>
                <c:pt idx="215">
                  <c:v>0.69710000000000005</c:v>
                </c:pt>
                <c:pt idx="216">
                  <c:v>0.69889999999999997</c:v>
                </c:pt>
                <c:pt idx="217">
                  <c:v>0.7006</c:v>
                </c:pt>
                <c:pt idx="218">
                  <c:v>0.70240000000000002</c:v>
                </c:pt>
                <c:pt idx="219">
                  <c:v>0.70409999999999995</c:v>
                </c:pt>
                <c:pt idx="220">
                  <c:v>0.70589999999999997</c:v>
                </c:pt>
                <c:pt idx="221">
                  <c:v>0.70760000000000001</c:v>
                </c:pt>
                <c:pt idx="222">
                  <c:v>0.70940000000000003</c:v>
                </c:pt>
                <c:pt idx="223">
                  <c:v>0.71109999999999995</c:v>
                </c:pt>
                <c:pt idx="224">
                  <c:v>0.71289999999999998</c:v>
                </c:pt>
                <c:pt idx="225">
                  <c:v>0.7147</c:v>
                </c:pt>
                <c:pt idx="226">
                  <c:v>0.71640000000000004</c:v>
                </c:pt>
                <c:pt idx="227">
                  <c:v>0.71819999999999995</c:v>
                </c:pt>
                <c:pt idx="228">
                  <c:v>0.71989999999999998</c:v>
                </c:pt>
                <c:pt idx="229">
                  <c:v>0.72170000000000001</c:v>
                </c:pt>
                <c:pt idx="230">
                  <c:v>0.72340000000000004</c:v>
                </c:pt>
                <c:pt idx="231">
                  <c:v>0.72519999999999996</c:v>
                </c:pt>
                <c:pt idx="232">
                  <c:v>0.72689999999999999</c:v>
                </c:pt>
                <c:pt idx="233">
                  <c:v>0.72870000000000001</c:v>
                </c:pt>
                <c:pt idx="234">
                  <c:v>0.73040000000000005</c:v>
                </c:pt>
                <c:pt idx="235">
                  <c:v>0.73219999999999996</c:v>
                </c:pt>
                <c:pt idx="236">
                  <c:v>0.73399999999999999</c:v>
                </c:pt>
                <c:pt idx="237">
                  <c:v>0.73570000000000002</c:v>
                </c:pt>
                <c:pt idx="238">
                  <c:v>0.73750000000000004</c:v>
                </c:pt>
                <c:pt idx="239">
                  <c:v>0.73919999999999997</c:v>
                </c:pt>
                <c:pt idx="240">
                  <c:v>0.74099999999999999</c:v>
                </c:pt>
                <c:pt idx="241">
                  <c:v>0.74270000000000003</c:v>
                </c:pt>
                <c:pt idx="242">
                  <c:v>0.74450000000000005</c:v>
                </c:pt>
                <c:pt idx="243">
                  <c:v>0.74619999999999997</c:v>
                </c:pt>
                <c:pt idx="244">
                  <c:v>0.748</c:v>
                </c:pt>
                <c:pt idx="245">
                  <c:v>0.74980000000000002</c:v>
                </c:pt>
                <c:pt idx="246">
                  <c:v>0.75149999999999995</c:v>
                </c:pt>
                <c:pt idx="247">
                  <c:v>0.75329999999999997</c:v>
                </c:pt>
                <c:pt idx="248">
                  <c:v>0.755</c:v>
                </c:pt>
                <c:pt idx="249">
                  <c:v>0.75680000000000003</c:v>
                </c:pt>
                <c:pt idx="250">
                  <c:v>0.75849999999999995</c:v>
                </c:pt>
                <c:pt idx="251">
                  <c:v>0.76029999999999998</c:v>
                </c:pt>
                <c:pt idx="252">
                  <c:v>0.76200000000000001</c:v>
                </c:pt>
                <c:pt idx="253">
                  <c:v>0.76380000000000003</c:v>
                </c:pt>
                <c:pt idx="254">
                  <c:v>0.76549999999999996</c:v>
                </c:pt>
                <c:pt idx="255">
                  <c:v>0.76729999999999998</c:v>
                </c:pt>
                <c:pt idx="256">
                  <c:v>0.76910000000000001</c:v>
                </c:pt>
                <c:pt idx="257">
                  <c:v>0.77080000000000004</c:v>
                </c:pt>
                <c:pt idx="258">
                  <c:v>0.77259999999999995</c:v>
                </c:pt>
                <c:pt idx="259">
                  <c:v>0.77429999999999999</c:v>
                </c:pt>
                <c:pt idx="260">
                  <c:v>0.77610000000000001</c:v>
                </c:pt>
                <c:pt idx="261">
                  <c:v>0.77780000000000005</c:v>
                </c:pt>
                <c:pt idx="262">
                  <c:v>0.77959999999999996</c:v>
                </c:pt>
                <c:pt idx="263">
                  <c:v>0.78129999999999999</c:v>
                </c:pt>
                <c:pt idx="264">
                  <c:v>0.78310000000000002</c:v>
                </c:pt>
                <c:pt idx="265">
                  <c:v>0.78490000000000004</c:v>
                </c:pt>
                <c:pt idx="266">
                  <c:v>0.78659999999999997</c:v>
                </c:pt>
                <c:pt idx="267">
                  <c:v>0.78839999999999999</c:v>
                </c:pt>
                <c:pt idx="268">
                  <c:v>0.79010000000000002</c:v>
                </c:pt>
                <c:pt idx="269">
                  <c:v>0.79190000000000005</c:v>
                </c:pt>
                <c:pt idx="270">
                  <c:v>0.79359999999999997</c:v>
                </c:pt>
                <c:pt idx="271">
                  <c:v>0.7954</c:v>
                </c:pt>
                <c:pt idx="272">
                  <c:v>0.79710000000000003</c:v>
                </c:pt>
                <c:pt idx="273">
                  <c:v>0.79890000000000005</c:v>
                </c:pt>
                <c:pt idx="274">
                  <c:v>0.80059999999999998</c:v>
                </c:pt>
                <c:pt idx="275">
                  <c:v>0.8024</c:v>
                </c:pt>
                <c:pt idx="276">
                  <c:v>0.80420000000000003</c:v>
                </c:pt>
                <c:pt idx="277">
                  <c:v>0.80589999999999995</c:v>
                </c:pt>
                <c:pt idx="278">
                  <c:v>0.80769999999999997</c:v>
                </c:pt>
                <c:pt idx="279">
                  <c:v>0.80940000000000001</c:v>
                </c:pt>
                <c:pt idx="280">
                  <c:v>0.81120000000000003</c:v>
                </c:pt>
                <c:pt idx="281">
                  <c:v>0.81289999999999996</c:v>
                </c:pt>
                <c:pt idx="282">
                  <c:v>0.81469999999999998</c:v>
                </c:pt>
                <c:pt idx="283">
                  <c:v>0.81640000000000001</c:v>
                </c:pt>
                <c:pt idx="284">
                  <c:v>0.81820000000000004</c:v>
                </c:pt>
                <c:pt idx="285">
                  <c:v>0.82</c:v>
                </c:pt>
                <c:pt idx="286">
                  <c:v>0.82169999999999999</c:v>
                </c:pt>
                <c:pt idx="287">
                  <c:v>0.82350000000000001</c:v>
                </c:pt>
                <c:pt idx="288">
                  <c:v>0.82520000000000004</c:v>
                </c:pt>
                <c:pt idx="289">
                  <c:v>0.82699999999999996</c:v>
                </c:pt>
                <c:pt idx="290">
                  <c:v>0.82869999999999999</c:v>
                </c:pt>
                <c:pt idx="291">
                  <c:v>0.83050000000000002</c:v>
                </c:pt>
                <c:pt idx="292">
                  <c:v>0.83220000000000005</c:v>
                </c:pt>
                <c:pt idx="293">
                  <c:v>0.83399999999999996</c:v>
                </c:pt>
                <c:pt idx="294">
                  <c:v>0.8357</c:v>
                </c:pt>
                <c:pt idx="295">
                  <c:v>0.83750000000000002</c:v>
                </c:pt>
                <c:pt idx="296">
                  <c:v>0.83930000000000005</c:v>
                </c:pt>
                <c:pt idx="297">
                  <c:v>0.84099999999999997</c:v>
                </c:pt>
                <c:pt idx="298">
                  <c:v>0.84279999999999999</c:v>
                </c:pt>
                <c:pt idx="299">
                  <c:v>0.84450000000000003</c:v>
                </c:pt>
                <c:pt idx="300">
                  <c:v>0.84630000000000005</c:v>
                </c:pt>
                <c:pt idx="301">
                  <c:v>0.84799999999999998</c:v>
                </c:pt>
                <c:pt idx="302">
                  <c:v>0.8498</c:v>
                </c:pt>
                <c:pt idx="303">
                  <c:v>0.85150000000000003</c:v>
                </c:pt>
                <c:pt idx="304">
                  <c:v>0.85329999999999995</c:v>
                </c:pt>
                <c:pt idx="305">
                  <c:v>0.85509999999999997</c:v>
                </c:pt>
                <c:pt idx="306">
                  <c:v>0.85680000000000001</c:v>
                </c:pt>
                <c:pt idx="307">
                  <c:v>0.85860000000000003</c:v>
                </c:pt>
                <c:pt idx="308">
                  <c:v>0.86029999999999995</c:v>
                </c:pt>
                <c:pt idx="309">
                  <c:v>0.86209999999999998</c:v>
                </c:pt>
                <c:pt idx="310">
                  <c:v>0.86380000000000001</c:v>
                </c:pt>
                <c:pt idx="311">
                  <c:v>0.86560000000000004</c:v>
                </c:pt>
                <c:pt idx="312">
                  <c:v>0.86729999999999996</c:v>
                </c:pt>
                <c:pt idx="313">
                  <c:v>0.86909999999999998</c:v>
                </c:pt>
                <c:pt idx="314">
                  <c:v>0.87080000000000002</c:v>
                </c:pt>
                <c:pt idx="315">
                  <c:v>0.87260000000000004</c:v>
                </c:pt>
                <c:pt idx="316">
                  <c:v>0.87439999999999996</c:v>
                </c:pt>
                <c:pt idx="317">
                  <c:v>0.87609999999999999</c:v>
                </c:pt>
                <c:pt idx="318">
                  <c:v>0.87790000000000001</c:v>
                </c:pt>
                <c:pt idx="319">
                  <c:v>0.87960000000000005</c:v>
                </c:pt>
                <c:pt idx="320">
                  <c:v>0.88139999999999996</c:v>
                </c:pt>
                <c:pt idx="321">
                  <c:v>0.8831</c:v>
                </c:pt>
                <c:pt idx="322">
                  <c:v>0.88490000000000002</c:v>
                </c:pt>
                <c:pt idx="323">
                  <c:v>0.88660000000000005</c:v>
                </c:pt>
                <c:pt idx="324">
                  <c:v>0.88839999999999997</c:v>
                </c:pt>
                <c:pt idx="325">
                  <c:v>0.89019999999999999</c:v>
                </c:pt>
                <c:pt idx="326">
                  <c:v>0.89190000000000003</c:v>
                </c:pt>
                <c:pt idx="327">
                  <c:v>0.89370000000000005</c:v>
                </c:pt>
                <c:pt idx="328">
                  <c:v>0.89539999999999997</c:v>
                </c:pt>
                <c:pt idx="329">
                  <c:v>0.8972</c:v>
                </c:pt>
                <c:pt idx="330">
                  <c:v>0.89890000000000003</c:v>
                </c:pt>
                <c:pt idx="331">
                  <c:v>0.90069999999999995</c:v>
                </c:pt>
                <c:pt idx="332">
                  <c:v>0.90239999999999998</c:v>
                </c:pt>
                <c:pt idx="333">
                  <c:v>0.9042</c:v>
                </c:pt>
                <c:pt idx="334">
                  <c:v>0.90590000000000004</c:v>
                </c:pt>
                <c:pt idx="335">
                  <c:v>0.90769999999999995</c:v>
                </c:pt>
                <c:pt idx="336">
                  <c:v>0.90949999999999998</c:v>
                </c:pt>
                <c:pt idx="337">
                  <c:v>0.91120000000000001</c:v>
                </c:pt>
                <c:pt idx="338">
                  <c:v>0.91300000000000003</c:v>
                </c:pt>
                <c:pt idx="339">
                  <c:v>0.91469999999999996</c:v>
                </c:pt>
                <c:pt idx="340">
                  <c:v>0.91649999999999998</c:v>
                </c:pt>
                <c:pt idx="341">
                  <c:v>0.91820000000000002</c:v>
                </c:pt>
                <c:pt idx="342">
                  <c:v>0.92</c:v>
                </c:pt>
                <c:pt idx="343">
                  <c:v>0.92169999999999996</c:v>
                </c:pt>
                <c:pt idx="344">
                  <c:v>0.92349999999999999</c:v>
                </c:pt>
                <c:pt idx="345">
                  <c:v>0.92530000000000001</c:v>
                </c:pt>
                <c:pt idx="346">
                  <c:v>0.92700000000000005</c:v>
                </c:pt>
                <c:pt idx="347">
                  <c:v>0.92879999999999996</c:v>
                </c:pt>
                <c:pt idx="348">
                  <c:v>0.93049999999999999</c:v>
                </c:pt>
                <c:pt idx="349">
                  <c:v>0.93230000000000002</c:v>
                </c:pt>
                <c:pt idx="350">
                  <c:v>0.93400000000000005</c:v>
                </c:pt>
                <c:pt idx="351">
                  <c:v>0.93579999999999997</c:v>
                </c:pt>
                <c:pt idx="352">
                  <c:v>0.9375</c:v>
                </c:pt>
                <c:pt idx="353">
                  <c:v>0.93930000000000002</c:v>
                </c:pt>
                <c:pt idx="354">
                  <c:v>0.94099999999999995</c:v>
                </c:pt>
                <c:pt idx="355">
                  <c:v>0.94279999999999997</c:v>
                </c:pt>
                <c:pt idx="356">
                  <c:v>0.9446</c:v>
                </c:pt>
                <c:pt idx="357">
                  <c:v>0.94630000000000003</c:v>
                </c:pt>
                <c:pt idx="358">
                  <c:v>0.94810000000000005</c:v>
                </c:pt>
                <c:pt idx="359">
                  <c:v>0.94979999999999998</c:v>
                </c:pt>
                <c:pt idx="360">
                  <c:v>0.9516</c:v>
                </c:pt>
                <c:pt idx="361">
                  <c:v>0.95330000000000004</c:v>
                </c:pt>
                <c:pt idx="362">
                  <c:v>0.95509999999999995</c:v>
                </c:pt>
                <c:pt idx="363">
                  <c:v>0.95679999999999998</c:v>
                </c:pt>
                <c:pt idx="364">
                  <c:v>0.95860000000000001</c:v>
                </c:pt>
                <c:pt idx="365">
                  <c:v>0.96040000000000003</c:v>
                </c:pt>
                <c:pt idx="366">
                  <c:v>0.96209999999999996</c:v>
                </c:pt>
                <c:pt idx="367">
                  <c:v>0.96389999999999998</c:v>
                </c:pt>
                <c:pt idx="368">
                  <c:v>0.96560000000000001</c:v>
                </c:pt>
                <c:pt idx="369">
                  <c:v>0.96740000000000004</c:v>
                </c:pt>
                <c:pt idx="370">
                  <c:v>0.96909999999999996</c:v>
                </c:pt>
                <c:pt idx="371">
                  <c:v>0.97089999999999999</c:v>
                </c:pt>
                <c:pt idx="372">
                  <c:v>0.97260000000000002</c:v>
                </c:pt>
                <c:pt idx="373">
                  <c:v>0.97440000000000004</c:v>
                </c:pt>
                <c:pt idx="374">
                  <c:v>0.97609999999999997</c:v>
                </c:pt>
                <c:pt idx="375">
                  <c:v>0.97789999999999999</c:v>
                </c:pt>
                <c:pt idx="376">
                  <c:v>0.97970000000000002</c:v>
                </c:pt>
                <c:pt idx="377">
                  <c:v>0.98140000000000005</c:v>
                </c:pt>
                <c:pt idx="378">
                  <c:v>0.98319999999999996</c:v>
                </c:pt>
                <c:pt idx="379">
                  <c:v>0.9849</c:v>
                </c:pt>
                <c:pt idx="380">
                  <c:v>0.98670000000000002</c:v>
                </c:pt>
                <c:pt idx="381">
                  <c:v>0.98839999999999995</c:v>
                </c:pt>
                <c:pt idx="382">
                  <c:v>0.99019999999999997</c:v>
                </c:pt>
                <c:pt idx="383">
                  <c:v>0.9919</c:v>
                </c:pt>
                <c:pt idx="384">
                  <c:v>0.99370000000000003</c:v>
                </c:pt>
                <c:pt idx="385">
                  <c:v>0.99550000000000005</c:v>
                </c:pt>
                <c:pt idx="386">
                  <c:v>0.99719999999999998</c:v>
                </c:pt>
                <c:pt idx="387">
                  <c:v>0.999</c:v>
                </c:pt>
                <c:pt idx="388">
                  <c:v>1.0006999999999999</c:v>
                </c:pt>
                <c:pt idx="389">
                  <c:v>1.0024999999999999</c:v>
                </c:pt>
                <c:pt idx="390">
                  <c:v>1.0042</c:v>
                </c:pt>
                <c:pt idx="391">
                  <c:v>1.006</c:v>
                </c:pt>
                <c:pt idx="392">
                  <c:v>1.0077</c:v>
                </c:pt>
                <c:pt idx="393">
                  <c:v>1.0095000000000001</c:v>
                </c:pt>
                <c:pt idx="394">
                  <c:v>1.0112000000000001</c:v>
                </c:pt>
                <c:pt idx="395">
                  <c:v>1.0129999999999999</c:v>
                </c:pt>
                <c:pt idx="396">
                  <c:v>1.0147999999999999</c:v>
                </c:pt>
                <c:pt idx="397">
                  <c:v>1.0165</c:v>
                </c:pt>
                <c:pt idx="398">
                  <c:v>1.0183</c:v>
                </c:pt>
                <c:pt idx="399">
                  <c:v>1.02</c:v>
                </c:pt>
                <c:pt idx="400">
                  <c:v>1.0218</c:v>
                </c:pt>
                <c:pt idx="401">
                  <c:v>1.0218</c:v>
                </c:pt>
                <c:pt idx="402">
                  <c:v>1.0218</c:v>
                </c:pt>
                <c:pt idx="403">
                  <c:v>1.0218</c:v>
                </c:pt>
                <c:pt idx="404">
                  <c:v>1.0218</c:v>
                </c:pt>
                <c:pt idx="405">
                  <c:v>1.0218</c:v>
                </c:pt>
                <c:pt idx="406">
                  <c:v>1.0218</c:v>
                </c:pt>
                <c:pt idx="407">
                  <c:v>1.0218</c:v>
                </c:pt>
                <c:pt idx="408">
                  <c:v>1.0218</c:v>
                </c:pt>
                <c:pt idx="409">
                  <c:v>1.0218</c:v>
                </c:pt>
                <c:pt idx="410">
                  <c:v>1.0218</c:v>
                </c:pt>
                <c:pt idx="411">
                  <c:v>1.0218</c:v>
                </c:pt>
                <c:pt idx="412">
                  <c:v>1.0218</c:v>
                </c:pt>
                <c:pt idx="413">
                  <c:v>1.0218</c:v>
                </c:pt>
                <c:pt idx="414">
                  <c:v>1.0218</c:v>
                </c:pt>
                <c:pt idx="415">
                  <c:v>1.0218</c:v>
                </c:pt>
                <c:pt idx="416">
                  <c:v>1.0218</c:v>
                </c:pt>
                <c:pt idx="417">
                  <c:v>1.0218</c:v>
                </c:pt>
                <c:pt idx="418">
                  <c:v>1.0218</c:v>
                </c:pt>
                <c:pt idx="419">
                  <c:v>1.0218</c:v>
                </c:pt>
                <c:pt idx="420">
                  <c:v>1.0218</c:v>
                </c:pt>
                <c:pt idx="421">
                  <c:v>1.0218</c:v>
                </c:pt>
                <c:pt idx="422">
                  <c:v>1.0218</c:v>
                </c:pt>
                <c:pt idx="423">
                  <c:v>1.0218</c:v>
                </c:pt>
                <c:pt idx="424">
                  <c:v>1.0218</c:v>
                </c:pt>
                <c:pt idx="425">
                  <c:v>1.0218</c:v>
                </c:pt>
                <c:pt idx="426">
                  <c:v>1.0218</c:v>
                </c:pt>
                <c:pt idx="427">
                  <c:v>1.0218</c:v>
                </c:pt>
                <c:pt idx="428">
                  <c:v>1.0218</c:v>
                </c:pt>
                <c:pt idx="429">
                  <c:v>1.0218</c:v>
                </c:pt>
                <c:pt idx="430">
                  <c:v>1.0218</c:v>
                </c:pt>
                <c:pt idx="431">
                  <c:v>1.0218</c:v>
                </c:pt>
                <c:pt idx="432">
                  <c:v>1.0218</c:v>
                </c:pt>
                <c:pt idx="433">
                  <c:v>1.0218</c:v>
                </c:pt>
                <c:pt idx="434">
                  <c:v>1.0218</c:v>
                </c:pt>
                <c:pt idx="435">
                  <c:v>1.0218</c:v>
                </c:pt>
                <c:pt idx="436">
                  <c:v>1.0218</c:v>
                </c:pt>
                <c:pt idx="437">
                  <c:v>1.0218</c:v>
                </c:pt>
                <c:pt idx="438">
                  <c:v>1.0218</c:v>
                </c:pt>
                <c:pt idx="439">
                  <c:v>1.0218</c:v>
                </c:pt>
                <c:pt idx="440">
                  <c:v>1.0218</c:v>
                </c:pt>
                <c:pt idx="441">
                  <c:v>1.0218</c:v>
                </c:pt>
                <c:pt idx="442">
                  <c:v>1.0218</c:v>
                </c:pt>
                <c:pt idx="443">
                  <c:v>1.0218</c:v>
                </c:pt>
                <c:pt idx="444">
                  <c:v>1.0218</c:v>
                </c:pt>
                <c:pt idx="445">
                  <c:v>1.0218</c:v>
                </c:pt>
                <c:pt idx="446">
                  <c:v>1.0218</c:v>
                </c:pt>
                <c:pt idx="447">
                  <c:v>1.0218</c:v>
                </c:pt>
                <c:pt idx="448">
                  <c:v>1.0218</c:v>
                </c:pt>
                <c:pt idx="449">
                  <c:v>1.0218</c:v>
                </c:pt>
                <c:pt idx="450">
                  <c:v>1.0218</c:v>
                </c:pt>
                <c:pt idx="451">
                  <c:v>1.0218</c:v>
                </c:pt>
                <c:pt idx="452">
                  <c:v>1.0218</c:v>
                </c:pt>
                <c:pt idx="453">
                  <c:v>1.0218</c:v>
                </c:pt>
                <c:pt idx="454">
                  <c:v>1.0218</c:v>
                </c:pt>
                <c:pt idx="455">
                  <c:v>1.0218</c:v>
                </c:pt>
                <c:pt idx="456">
                  <c:v>1.0218</c:v>
                </c:pt>
                <c:pt idx="457">
                  <c:v>1.0218</c:v>
                </c:pt>
                <c:pt idx="458">
                  <c:v>1.0218</c:v>
                </c:pt>
                <c:pt idx="459">
                  <c:v>1.0218</c:v>
                </c:pt>
                <c:pt idx="460">
                  <c:v>1.0218</c:v>
                </c:pt>
                <c:pt idx="461">
                  <c:v>1.0218</c:v>
                </c:pt>
                <c:pt idx="462">
                  <c:v>1.0218</c:v>
                </c:pt>
                <c:pt idx="463">
                  <c:v>1.0218</c:v>
                </c:pt>
                <c:pt idx="464">
                  <c:v>1.0218</c:v>
                </c:pt>
                <c:pt idx="465">
                  <c:v>1.0218</c:v>
                </c:pt>
                <c:pt idx="466">
                  <c:v>1.0218</c:v>
                </c:pt>
                <c:pt idx="467">
                  <c:v>1.0218</c:v>
                </c:pt>
                <c:pt idx="468">
                  <c:v>1.0218</c:v>
                </c:pt>
                <c:pt idx="469">
                  <c:v>1.0218</c:v>
                </c:pt>
                <c:pt idx="470">
                  <c:v>1.0218</c:v>
                </c:pt>
                <c:pt idx="471">
                  <c:v>1.0218</c:v>
                </c:pt>
                <c:pt idx="472">
                  <c:v>1.0218</c:v>
                </c:pt>
                <c:pt idx="473">
                  <c:v>1.0218</c:v>
                </c:pt>
                <c:pt idx="474">
                  <c:v>1.0218</c:v>
                </c:pt>
                <c:pt idx="475">
                  <c:v>1.0218</c:v>
                </c:pt>
                <c:pt idx="476">
                  <c:v>1.0218</c:v>
                </c:pt>
                <c:pt idx="477">
                  <c:v>1.0218</c:v>
                </c:pt>
                <c:pt idx="478">
                  <c:v>1.0218</c:v>
                </c:pt>
                <c:pt idx="479">
                  <c:v>1.0218</c:v>
                </c:pt>
                <c:pt idx="480">
                  <c:v>1.0218</c:v>
                </c:pt>
                <c:pt idx="481">
                  <c:v>1.0218</c:v>
                </c:pt>
                <c:pt idx="482">
                  <c:v>1.0218</c:v>
                </c:pt>
                <c:pt idx="483">
                  <c:v>1.0218</c:v>
                </c:pt>
                <c:pt idx="484">
                  <c:v>1.0218</c:v>
                </c:pt>
                <c:pt idx="485">
                  <c:v>1.0218</c:v>
                </c:pt>
                <c:pt idx="486">
                  <c:v>1.0218</c:v>
                </c:pt>
                <c:pt idx="487">
                  <c:v>1.0218</c:v>
                </c:pt>
                <c:pt idx="488">
                  <c:v>1.0218</c:v>
                </c:pt>
                <c:pt idx="489">
                  <c:v>1.0218</c:v>
                </c:pt>
                <c:pt idx="490">
                  <c:v>1.0218</c:v>
                </c:pt>
                <c:pt idx="491">
                  <c:v>1.0218</c:v>
                </c:pt>
                <c:pt idx="492">
                  <c:v>1.0218</c:v>
                </c:pt>
                <c:pt idx="493">
                  <c:v>1.0218</c:v>
                </c:pt>
                <c:pt idx="494">
                  <c:v>1.0218</c:v>
                </c:pt>
                <c:pt idx="495">
                  <c:v>1.0218</c:v>
                </c:pt>
                <c:pt idx="496">
                  <c:v>1.0218</c:v>
                </c:pt>
                <c:pt idx="497">
                  <c:v>1.0218</c:v>
                </c:pt>
                <c:pt idx="498">
                  <c:v>1.0218</c:v>
                </c:pt>
                <c:pt idx="499">
                  <c:v>1.0218</c:v>
                </c:pt>
                <c:pt idx="500">
                  <c:v>1.0218</c:v>
                </c:pt>
              </c:numCache>
            </c:numRef>
          </c:val>
          <c:smooth val="0"/>
          <c:extLst>
            <c:ext xmlns:c16="http://schemas.microsoft.com/office/drawing/2014/chart" uri="{C3380CC4-5D6E-409C-BE32-E72D297353CC}">
              <c16:uniqueId val="{00000001-0269-4C1D-AA98-0D7D8A0056D4}"/>
            </c:ext>
          </c:extLst>
        </c:ser>
        <c:dLbls>
          <c:showLegendKey val="0"/>
          <c:showVal val="0"/>
          <c:showCatName val="0"/>
          <c:showSerName val="0"/>
          <c:showPercent val="0"/>
          <c:showBubbleSize val="0"/>
        </c:dLbls>
        <c:smooth val="0"/>
        <c:axId val="578169880"/>
        <c:axId val="578170864"/>
      </c:lineChart>
      <c:catAx>
        <c:axId val="578169880"/>
        <c:scaling>
          <c:orientation val="minMax"/>
        </c:scaling>
        <c:delete val="0"/>
        <c:axPos val="b"/>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cs-CZ" sz="1000" b="0" i="0" baseline="0" dirty="0">
                    <a:effectLst/>
                    <a:latin typeface="Times New Roman" panose="02020603050405020304" pitchFamily="18" charset="0"/>
                    <a:cs typeface="Times New Roman" panose="02020603050405020304" pitchFamily="18" charset="0"/>
                  </a:rPr>
                  <a:t>Gross </a:t>
                </a:r>
                <a:r>
                  <a:rPr lang="cs-CZ" sz="1000" b="0" i="0" baseline="0" dirty="0" err="1">
                    <a:effectLst/>
                    <a:latin typeface="Times New Roman" panose="02020603050405020304" pitchFamily="18" charset="0"/>
                    <a:cs typeface="Times New Roman" panose="02020603050405020304" pitchFamily="18" charset="0"/>
                  </a:rPr>
                  <a:t>wage</a:t>
                </a:r>
                <a:endParaRPr lang="cs-CZ" sz="1000" b="0" dirty="0">
                  <a:effectLst/>
                  <a:latin typeface="Times New Roman" panose="02020603050405020304" pitchFamily="18" charset="0"/>
                  <a:cs typeface="Times New Roman" panose="02020603050405020304" pitchFamily="18" charset="0"/>
                </a:endParaRPr>
              </a:p>
            </c:rich>
          </c:tx>
          <c:layout>
            <c:manualLayout>
              <c:xMode val="edge"/>
              <c:yMode val="edge"/>
              <c:x val="0.85120936805976177"/>
              <c:y val="0.85334590988626424"/>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78170864"/>
        <c:crosses val="autoZero"/>
        <c:auto val="1"/>
        <c:lblAlgn val="ctr"/>
        <c:lblOffset val="100"/>
        <c:noMultiLvlLbl val="0"/>
      </c:catAx>
      <c:valAx>
        <c:axId val="578170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000" b="0" i="0" baseline="0" dirty="0" err="1">
                    <a:effectLst/>
                    <a:latin typeface="Times New Roman" panose="02020603050405020304" pitchFamily="18" charset="0"/>
                    <a:cs typeface="Times New Roman" panose="02020603050405020304" pitchFamily="18" charset="0"/>
                  </a:rPr>
                  <a:t>Old-age</a:t>
                </a:r>
                <a:r>
                  <a:rPr lang="cs-CZ" sz="1000" b="0" i="0" baseline="0" dirty="0">
                    <a:effectLst/>
                    <a:latin typeface="Times New Roman" panose="02020603050405020304" pitchFamily="18" charset="0"/>
                    <a:cs typeface="Times New Roman" panose="02020603050405020304" pitchFamily="18" charset="0"/>
                  </a:rPr>
                  <a:t> pension</a:t>
                </a:r>
                <a:endParaRPr lang="cs-CZ" sz="1000" b="0" dirty="0">
                  <a:effectLst/>
                  <a:latin typeface="Times New Roman" panose="02020603050405020304" pitchFamily="18" charset="0"/>
                  <a:cs typeface="Times New Roman" panose="02020603050405020304" pitchFamily="18" charset="0"/>
                </a:endParaRPr>
              </a:p>
            </c:rich>
          </c:tx>
          <c:layout>
            <c:manualLayout>
              <c:xMode val="edge"/>
              <c:yMode val="edge"/>
              <c:x val="1.2345679012345678E-2"/>
              <c:y val="2.277483215866366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578169880"/>
        <c:crosses val="autoZero"/>
        <c:crossBetween val="between"/>
      </c:valAx>
      <c:spPr>
        <a:noFill/>
        <a:ln>
          <a:noFill/>
        </a:ln>
        <a:effectLst/>
      </c:spPr>
    </c:plotArea>
    <c:legend>
      <c:legendPos val="b"/>
      <c:layout>
        <c:manualLayout>
          <c:xMode val="edge"/>
          <c:yMode val="edge"/>
          <c:x val="0.14757842769653792"/>
          <c:y val="0.85983405300143934"/>
          <c:w val="0.58579552555930514"/>
          <c:h val="0.101432153694542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F51E7-1121-40AA-A225-62BCBD5FB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TPAVF_sample2012</Template>
  <TotalTime>0</TotalTime>
  <Pages>8</Pages>
  <Words>4948</Words>
  <Characters>29199</Characters>
  <Application>Microsoft Office Word</Application>
  <DocSecurity>0</DocSecurity>
  <Lines>243</Lines>
  <Paragraphs>68</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34079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2021-08-05T21:25:00Z</dcterms:created>
  <dcterms:modified xsi:type="dcterms:W3CDTF">2021-08-24T09:37:00Z</dcterms:modified>
</cp:coreProperties>
</file>